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 w:hAnsi="仿宋" w:eastAsia="仿宋"/>
          <w:sz w:val="28"/>
          <w:szCs w:val="28"/>
          <w:lang w:val="en-US" w:eastAsia="zh-CN"/>
        </w:rPr>
      </w:pPr>
      <w:r>
        <w:rPr>
          <w:rFonts w:hint="eastAsia" w:ascii="仿宋" w:hAnsi="仿宋" w:eastAsia="仿宋"/>
          <w:sz w:val="28"/>
          <w:szCs w:val="28"/>
          <w:lang w:val="en-US" w:eastAsia="zh-CN"/>
        </w:rPr>
        <w:t>附件8：</w:t>
      </w:r>
    </w:p>
    <w:p>
      <w:pPr>
        <w:widowControl/>
        <w:jc w:val="center"/>
        <w:rPr>
          <w:rFonts w:ascii="华文中宋" w:hAnsi="华文中宋" w:eastAsia="华文中宋" w:cs="宋体"/>
          <w:b/>
          <w:bCs/>
          <w:color w:val="000000"/>
          <w:kern w:val="0"/>
          <w:sz w:val="32"/>
          <w:szCs w:val="32"/>
        </w:rPr>
      </w:pPr>
      <w:r>
        <w:rPr>
          <w:rFonts w:ascii="华文中宋" w:hAnsi="华文中宋" w:eastAsia="华文中宋" w:cs="方正小标宋简体-WinCharSetFFFF-H"/>
          <w:b/>
          <w:kern w:val="0"/>
          <w:sz w:val="36"/>
          <w:szCs w:val="36"/>
        </w:rPr>
        <w:t>201</w:t>
      </w:r>
      <w:r>
        <w:rPr>
          <w:rFonts w:hint="eastAsia" w:ascii="华文中宋" w:hAnsi="华文中宋" w:eastAsia="华文中宋" w:cs="方正小标宋简体-WinCharSetFFFF-H"/>
          <w:b/>
          <w:kern w:val="0"/>
          <w:sz w:val="36"/>
          <w:szCs w:val="36"/>
          <w:lang w:val="en-US" w:eastAsia="zh-CN"/>
        </w:rPr>
        <w:t>9</w:t>
      </w:r>
      <w:r>
        <w:rPr>
          <w:rFonts w:hint="eastAsia" w:ascii="华文中宋" w:hAnsi="华文中宋" w:eastAsia="华文中宋" w:cs="方正小标宋简体-WinCharSetFFFF-H"/>
          <w:b/>
          <w:kern w:val="0"/>
          <w:sz w:val="36"/>
          <w:szCs w:val="36"/>
        </w:rPr>
        <w:t>年需</w:t>
      </w:r>
      <w:r>
        <w:rPr>
          <w:rFonts w:ascii="华文中宋" w:hAnsi="华文中宋" w:eastAsia="华文中宋" w:cs="方正小标宋简体-WinCharSetFFFF-H"/>
          <w:b/>
          <w:kern w:val="0"/>
          <w:sz w:val="36"/>
          <w:szCs w:val="36"/>
        </w:rPr>
        <w:t>进行</w:t>
      </w:r>
      <w:r>
        <w:rPr>
          <w:rFonts w:hint="eastAsia" w:ascii="华文中宋" w:hAnsi="华文中宋" w:eastAsia="华文中宋" w:cs="方正小标宋简体-WinCharSetFFFF-H"/>
          <w:b/>
          <w:kern w:val="0"/>
          <w:sz w:val="36"/>
          <w:szCs w:val="36"/>
          <w:lang w:eastAsia="zh-CN"/>
        </w:rPr>
        <w:t>结题验收</w:t>
      </w:r>
      <w:r>
        <w:rPr>
          <w:rFonts w:ascii="华文中宋" w:hAnsi="华文中宋" w:eastAsia="华文中宋" w:cs="方正小标宋简体-WinCharSetFFFF-H"/>
          <w:b/>
          <w:kern w:val="0"/>
          <w:sz w:val="36"/>
          <w:szCs w:val="36"/>
        </w:rPr>
        <w:t>的校级教改项目名单</w:t>
      </w:r>
    </w:p>
    <w:p>
      <w:pPr>
        <w:autoSpaceDE w:val="0"/>
        <w:autoSpaceDN w:val="0"/>
        <w:adjustRightInd w:val="0"/>
        <w:spacing w:line="560" w:lineRule="exact"/>
        <w:jc w:val="left"/>
        <w:rPr>
          <w:rFonts w:ascii="黑体" w:hAnsi="黑体" w:eastAsia="黑体" w:cs="宋体"/>
          <w:b/>
          <w:bCs/>
          <w:color w:val="000000"/>
          <w:kern w:val="0"/>
          <w:sz w:val="32"/>
          <w:szCs w:val="32"/>
        </w:rPr>
      </w:pPr>
      <w:r>
        <w:rPr>
          <w:rFonts w:hint="eastAsia" w:ascii="黑体" w:hAnsi="黑体" w:eastAsia="黑体" w:cs="宋体"/>
          <w:b/>
          <w:bCs/>
          <w:color w:val="000000"/>
          <w:kern w:val="0"/>
          <w:sz w:val="32"/>
          <w:szCs w:val="32"/>
        </w:rPr>
        <w:t>一、普通教育类</w:t>
      </w:r>
    </w:p>
    <w:tbl>
      <w:tblPr>
        <w:tblStyle w:val="4"/>
        <w:tblW w:w="14125" w:type="dxa"/>
        <w:tblInd w:w="0" w:type="dxa"/>
        <w:tblLayout w:type="fixed"/>
        <w:tblCellMar>
          <w:top w:w="0" w:type="dxa"/>
          <w:left w:w="108" w:type="dxa"/>
          <w:bottom w:w="0" w:type="dxa"/>
          <w:right w:w="108" w:type="dxa"/>
        </w:tblCellMar>
      </w:tblPr>
      <w:tblGrid>
        <w:gridCol w:w="1372"/>
        <w:gridCol w:w="2400"/>
        <w:gridCol w:w="8025"/>
        <w:gridCol w:w="1065"/>
        <w:gridCol w:w="1263"/>
      </w:tblGrid>
      <w:tr>
        <w:tblPrEx>
          <w:tblLayout w:type="fixed"/>
          <w:tblCellMar>
            <w:top w:w="0" w:type="dxa"/>
            <w:left w:w="108" w:type="dxa"/>
            <w:bottom w:w="0" w:type="dxa"/>
            <w:right w:w="108" w:type="dxa"/>
          </w:tblCellMar>
        </w:tblPrEx>
        <w:trPr>
          <w:trHeight w:val="765" w:hRule="exact"/>
          <w:tblHeader/>
        </w:trPr>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项目编号</w:t>
            </w:r>
          </w:p>
        </w:tc>
        <w:tc>
          <w:tcPr>
            <w:tcW w:w="2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单位</w:t>
            </w:r>
          </w:p>
        </w:tc>
        <w:tc>
          <w:tcPr>
            <w:tcW w:w="80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项目名称</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楷体_GB2312" w:cs="Times New Roman"/>
                <w:b/>
                <w:bCs/>
                <w:kern w:val="0"/>
                <w:sz w:val="24"/>
                <w:szCs w:val="24"/>
                <w:lang w:eastAsia="zh-CN"/>
              </w:rPr>
            </w:pPr>
            <w:r>
              <w:rPr>
                <w:rFonts w:hint="eastAsia" w:ascii="Times New Roman" w:hAnsi="Times New Roman" w:eastAsia="楷体_GB2312" w:cs="Times New Roman"/>
                <w:b/>
                <w:bCs/>
                <w:kern w:val="0"/>
                <w:sz w:val="24"/>
                <w:szCs w:val="24"/>
                <w:lang w:eastAsia="zh-CN"/>
              </w:rPr>
              <w:t>主持人</w:t>
            </w:r>
            <w:bookmarkStart w:id="0" w:name="_GoBack"/>
            <w:bookmarkEnd w:id="0"/>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b/>
                <w:bCs/>
                <w:kern w:val="0"/>
                <w:sz w:val="24"/>
                <w:szCs w:val="24"/>
                <w:lang w:eastAsia="zh-CN"/>
              </w:rPr>
            </w:pPr>
            <w:r>
              <w:rPr>
                <w:rFonts w:hint="default" w:ascii="Times New Roman" w:hAnsi="Times New Roman" w:eastAsia="楷体_GB2312" w:cs="Times New Roman"/>
                <w:b/>
                <w:bCs/>
                <w:kern w:val="0"/>
                <w:sz w:val="24"/>
                <w:szCs w:val="24"/>
                <w:lang w:eastAsia="zh-CN"/>
              </w:rPr>
              <w:t>备注</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color w:val="000000"/>
                <w:kern w:val="0"/>
                <w:sz w:val="24"/>
                <w:szCs w:val="24"/>
                <w:lang w:val="en-US" w:eastAsia="zh-CN"/>
              </w:rPr>
              <w:t>1</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color w:val="000000"/>
                <w:kern w:val="0"/>
                <w:sz w:val="24"/>
                <w:szCs w:val="24"/>
              </w:rPr>
              <w:t>机电院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color w:val="000000"/>
                <w:kern w:val="0"/>
                <w:sz w:val="24"/>
                <w:szCs w:val="24"/>
              </w:rPr>
              <w:t>机电一体化课程体系开放式模块化教学的研究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color w:val="000000"/>
                <w:kern w:val="0"/>
                <w:sz w:val="24"/>
                <w:szCs w:val="24"/>
              </w:rPr>
              <w:t>张友旺</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华文楷体" w:cs="Times New Roman"/>
                <w:color w:val="000000"/>
                <w:kern w:val="0"/>
                <w:sz w:val="24"/>
                <w:szCs w:val="24"/>
                <w:lang w:eastAsia="zh-CN"/>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color w:val="000000"/>
                <w:kern w:val="0"/>
                <w:sz w:val="24"/>
                <w:szCs w:val="24"/>
                <w:lang w:val="en-US" w:eastAsia="zh-CN"/>
              </w:rPr>
              <w:t>2</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color w:val="000000"/>
                <w:kern w:val="0"/>
                <w:sz w:val="24"/>
                <w:szCs w:val="24"/>
              </w:rPr>
              <w:t>护理院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color w:val="000000"/>
                <w:kern w:val="0"/>
                <w:sz w:val="24"/>
                <w:szCs w:val="24"/>
              </w:rPr>
              <w:t>《常用临床护理技术操作程序》教学片对提高护理本科教学效果的研究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color w:val="000000"/>
                <w:kern w:val="0"/>
                <w:sz w:val="24"/>
                <w:szCs w:val="24"/>
              </w:rPr>
              <w:t>陈嘉</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color w:val="000000"/>
                <w:kern w:val="0"/>
                <w:sz w:val="24"/>
                <w:szCs w:val="24"/>
                <w:lang w:val="en-US" w:eastAsia="zh-CN"/>
              </w:rPr>
              <w:t>3</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文新院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color w:val="000000"/>
                <w:kern w:val="0"/>
                <w:sz w:val="24"/>
                <w:szCs w:val="24"/>
              </w:rPr>
              <w:t>工科创意类人文素质课课程体系研究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color w:val="000000"/>
                <w:kern w:val="0"/>
                <w:sz w:val="24"/>
                <w:szCs w:val="24"/>
              </w:rPr>
              <w:t>陈婵</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2016jy17</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资安院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《充填理论与技术》综合性实验改革方案研究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张钦礼</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2016jy18</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资安院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基于VR新技术和网络开放平台的《职业卫生及工程》课程教学改革研究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陈沅江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2016jy35</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数统院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基于数学与统计软件的文科数学的教学改革与探索</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杨淑平</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2016jy52</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商学院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“SPOC平台+EFA模式”金融专业课堂教学改革与实践</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朱宁</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color w:val="000000"/>
                <w:kern w:val="0"/>
                <w:sz w:val="24"/>
                <w:szCs w:val="24"/>
                <w:lang w:eastAsia="zh-CN"/>
              </w:rPr>
              <w:t>必须结题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2016jy55</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马院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面向网络舆论热点的高校思想政治理论课教学模式改革</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薄明华</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2016jy59</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外语院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highlight w:val="none"/>
              </w:rPr>
              <w:t>大学外语教学中翻译有效课堂教学模式之建构</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胡良骥</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2016jy62</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外语院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“新交互”时代非英语专业本科生翻译技能培养的研究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丁新华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2016jy63</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外语院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说写相融、、从输出到输出驱动----体验视域下的大学英语教学改革</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张永玲</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2016jy68</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文新院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文科开放式课堂教学中过程考核评价标准研究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范明献</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2016jy73</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本科生院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信息化背景下的高校学籍管理研究与探索</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刘铁雄</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2016jy86</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湘雅医院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基于PACS大数据资源的医学生影像诊断思维能力培养研究与实践</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周晖</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2016jy97</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湘雅三医院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网络主题探究模式在外科实践教学中的应用研究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卢韶华</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2016jy100</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湘雅三医院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PBL、CBL及翻转式教学相结合的诊断学教学模式的构建</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熊静</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2016jy101</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湘雅三医院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基于微课的翻转课堂教学模式在皮肤性病学临床教学中的应用研究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丁澍</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华文楷体" w:cs="Times New Roman"/>
                <w:kern w:val="0"/>
                <w:sz w:val="24"/>
                <w:szCs w:val="24"/>
              </w:rPr>
              <w:t>2016jy103</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湘雅三医院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华文楷体" w:cs="Times New Roman"/>
                <w:kern w:val="0"/>
                <w:sz w:val="24"/>
                <w:szCs w:val="24"/>
              </w:rPr>
              <w:t>虚拟病例临床思维训练系统在医学实践教学中的应用研究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kern w:val="0"/>
                <w:sz w:val="24"/>
                <w:szCs w:val="24"/>
              </w:rPr>
              <w:t>唐晓鸿</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2016jy40</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4"/>
                <w:szCs w:val="24"/>
              </w:rPr>
              <w:t>信息院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3"/>
                <w:szCs w:val="23"/>
              </w:rPr>
              <w:t>计算机编程线上学习模式探索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4"/>
                <w:szCs w:val="24"/>
              </w:rPr>
              <w:t>鲁鸣鸣</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2016jy50</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4"/>
                <w:szCs w:val="24"/>
              </w:rPr>
              <w:t>公共管理学院</w:t>
            </w:r>
          </w:p>
        </w:tc>
        <w:tc>
          <w:tcPr>
            <w:tcW w:w="80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3"/>
                <w:szCs w:val="23"/>
              </w:rPr>
              <w:t>公共管理学科实验教学体系创新研究</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4"/>
                <w:szCs w:val="24"/>
              </w:rPr>
              <w:t>孟川瑾</w:t>
            </w:r>
          </w:p>
        </w:tc>
        <w:tc>
          <w:tcPr>
            <w:tcW w:w="1263"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2016jy51</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3"/>
                <w:szCs w:val="23"/>
                <w:u w:val="none"/>
                <w:lang w:val="en-US" w:eastAsia="zh-CN" w:bidi="ar"/>
              </w:rPr>
              <w:t>公共管理学院</w:t>
            </w:r>
          </w:p>
        </w:tc>
        <w:tc>
          <w:tcPr>
            <w:tcW w:w="8025" w:type="dxa"/>
            <w:tcBorders>
              <w:top w:val="nil"/>
              <w:left w:val="nil"/>
              <w:bottom w:val="single" w:color="auto" w:sz="4" w:space="0"/>
              <w:right w:val="single" w:color="auto" w:sz="4" w:space="0"/>
            </w:tcBorders>
            <w:shd w:val="clear" w:color="auto" w:fill="FFFFFF"/>
            <w:vAlign w:val="center"/>
          </w:tcPr>
          <w:p>
            <w:pPr>
              <w:widowControl/>
              <w:jc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kern w:val="0"/>
                <w:sz w:val="23"/>
                <w:szCs w:val="23"/>
                <w:lang w:val="en-US" w:eastAsia="zh-CN"/>
              </w:rPr>
              <w:t>跨学科视角下创新型公共政策专业人才培养改革研究</w:t>
            </w:r>
          </w:p>
        </w:tc>
        <w:tc>
          <w:tcPr>
            <w:tcW w:w="1065" w:type="dxa"/>
            <w:tcBorders>
              <w:top w:val="nil"/>
              <w:left w:val="nil"/>
              <w:bottom w:val="single" w:color="auto" w:sz="4" w:space="0"/>
              <w:right w:val="single" w:color="auto" w:sz="4" w:space="0"/>
            </w:tcBorders>
            <w:shd w:val="clear" w:color="auto" w:fill="FFFFFF"/>
            <w:vAlign w:val="center"/>
          </w:tcPr>
          <w:p>
            <w:pPr>
              <w:widowControl/>
              <w:jc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3"/>
                <w:szCs w:val="23"/>
                <w:lang w:val="en-US" w:eastAsia="zh-CN"/>
              </w:rPr>
              <w:t>郑石明</w:t>
            </w:r>
          </w:p>
        </w:tc>
        <w:tc>
          <w:tcPr>
            <w:tcW w:w="1263" w:type="dxa"/>
            <w:tcBorders>
              <w:top w:val="nil"/>
              <w:left w:val="nil"/>
              <w:bottom w:val="single" w:color="auto" w:sz="4" w:space="0"/>
              <w:right w:val="single" w:color="auto" w:sz="4" w:space="0"/>
            </w:tcBorders>
            <w:shd w:val="clear" w:color="auto" w:fill="FFFFFF"/>
            <w:vAlign w:val="center"/>
          </w:tcPr>
          <w:p>
            <w:pPr>
              <w:widowControl/>
              <w:jc w:val="center"/>
              <w:rPr>
                <w:rFonts w:hint="default" w:ascii="Times New Roman" w:hAnsi="Times New Roman" w:eastAsia="楷体_GB2312" w:cs="Times New Roman"/>
                <w:kern w:val="0"/>
                <w:sz w:val="23"/>
                <w:szCs w:val="23"/>
                <w:lang w:val="en-US" w:eastAsia="zh-CN"/>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材料院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《企业案例分析》课程考核模式改革</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林高用</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材料院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中外合作办学项目人才培养质量评价与反馈体系构建——以中南大学为例</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蔡圳阳</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地信院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以实践或实验为导向的地球科学学生创新能力提升研究——以地球物理学科方向为例</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严家斌</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地信院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融合创新创业项目的卓越地质工程师个性化培养模式探索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成永生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地信院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互动引导教学模式在《遥感原理与方法》课堂教学中的探索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马慧云</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地信院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工程教育认证背景下测绘工程专业达成度评价改革与实践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张云生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机电院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虚拟现实技术（VR）在机械制造课程教学中的应用探索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韩奉林</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机电院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基于专业认证的《制造工程训练》系列课程教学模式研究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彭高明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2017jy09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机电院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卓越汽车工程师创新能力提升实践教育平台建设模式研究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陈敏</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机电院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互联网时代</w:t>
            </w:r>
            <w:r>
              <w:rPr>
                <w:rStyle w:val="5"/>
                <w:rFonts w:hint="default" w:ascii="Times New Roman" w:hAnsi="Times New Roman" w:cs="Times New Roman"/>
                <w:lang w:val="en-US" w:eastAsia="zh-CN" w:bidi="ar"/>
              </w:rPr>
              <w:t>工程图学系列课程教学的探索与实践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周亮</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机电院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构建与创新教育相结合的工科校外实习新模式</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汤晓明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机电院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《机械原理课程设计》模块化命题的实证性研究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周英</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交通院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适应国际工程教育要求的大学工科实践教学体系的改革与实践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郑国华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交通院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交通运输类大学生“双创”能力培养的多维实践平台研究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秦进</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2017jy15</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交通院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成果导向教育在《运输市场营销》课程教学中的应用</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付延冰</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2017jy16</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交通院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多尺度化能力培养教学模式的研究</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章易程</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2017jy17</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能源院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基于“翻转课堂”的混合教学法在《内燃机控制技术》中的应用</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张建智</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数统院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大学生数学竞赛实践和创新能力培养的研究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刘心歌</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数统院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予鱼莫若与渔—开放式过程教学探究与实践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周英告</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数统院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开放式课堂教学背景下高等数学课程考核多元评价体系的构建与实现</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任叶庆</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物理院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课外科技活动在大学生创新能力培养中的作用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孙锡良</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物理院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基于移动互联网的物理实验教学探索与实践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李幼真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物理院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光电类课程综合设计教学模式研究与实践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谢文科</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2017jy24</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物理院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“互联网+教育”背景下基于翻转课堂的电磁学混合式学习研究与实践</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彭勇宜</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化学院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化学工程与工艺专业“双结业”培养模式的探索与实践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王晖</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2017jy26</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化学院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基于慕课、以翻转课堂为重点的医科大学化学混合式教学的设计与实践研究</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王微宏</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国内外基础力学课程教材的比较研究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罗建阳</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开放式课堂教学与高校教育生态适应性建设研究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王薇</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2017jy29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三维可视化案例驱动的铁路选线教学模式研究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李伟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桥梁工程软件应用课程理论与实践一体化教学模式探索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刘文硕</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“大力发展钢结构”战略引领下高校钢结构专业人才培养的形象教学法与关联式评价研究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fldChar w:fldCharType="begin"/>
            </w:r>
            <w:r>
              <w:rPr>
                <w:rFonts w:hint="default" w:ascii="Times New Roman" w:hAnsi="Times New Roman" w:eastAsia="楷体_GB2312" w:cs="Times New Roman"/>
                <w:i w:val="0"/>
                <w:color w:val="000000"/>
                <w:kern w:val="0"/>
                <w:sz w:val="24"/>
                <w:szCs w:val="24"/>
                <w:u w:val="none"/>
                <w:lang w:val="en-US" w:eastAsia="zh-CN" w:bidi="ar"/>
              </w:rPr>
              <w:instrText xml:space="preserve"> HYPERLINK "mailto:ywen_ce@csu.edu.cn" \o "" </w:instrText>
            </w:r>
            <w:r>
              <w:rPr>
                <w:rFonts w:hint="default" w:ascii="Times New Roman" w:hAnsi="Times New Roman" w:eastAsia="楷体_GB2312" w:cs="Times New Roman"/>
                <w:i w:val="0"/>
                <w:color w:val="000000"/>
                <w:kern w:val="0"/>
                <w:sz w:val="24"/>
                <w:szCs w:val="24"/>
                <w:u w:val="none"/>
                <w:lang w:val="en-US" w:eastAsia="zh-CN" w:bidi="ar"/>
              </w:rPr>
              <w:fldChar w:fldCharType="separate"/>
            </w:r>
            <w:r>
              <w:rPr>
                <w:rFonts w:hint="default" w:ascii="Times New Roman" w:hAnsi="Times New Roman" w:eastAsia="楷体_GB2312" w:cs="Times New Roman"/>
                <w:i w:val="0"/>
                <w:color w:val="000000"/>
                <w:kern w:val="0"/>
                <w:sz w:val="24"/>
                <w:szCs w:val="24"/>
                <w:u w:val="none"/>
                <w:lang w:val="en-US" w:eastAsia="zh-CN" w:bidi="ar"/>
              </w:rPr>
              <w:t>文颖</w:t>
            </w:r>
            <w:r>
              <w:rPr>
                <w:rFonts w:hint="default" w:ascii="Times New Roman" w:hAnsi="Times New Roman" w:eastAsia="楷体_GB2312" w:cs="Times New Roman"/>
                <w:i w:val="0"/>
                <w:color w:val="000000"/>
                <w:kern w:val="0"/>
                <w:sz w:val="24"/>
                <w:szCs w:val="24"/>
                <w:u w:val="none"/>
                <w:lang w:val="en-US" w:eastAsia="zh-CN" w:bidi="ar"/>
              </w:rPr>
              <w:fldChar w:fldCharType="end"/>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基础力学课程“三段式”教学法研究与实践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邹春伟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土木院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复合型背景下工程管理专业课程体系的优化与实践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陈汉利</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大自动化专业电类技术基础课程新体系的建设</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桂卫华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基于专业群共生圈探索数据科学与大数据技术专业建设模式</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桂劲松</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程序设计类课程实验教学模式改革与实践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梁毅雄</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基于“互联网+”的计算机程序设计课程资源协同教学模式的研究与实践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曹岳辉</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629"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基于可视化技术的大学计算机基础系列课程教学改革与实践——以《数据库技术与应用》课程为例</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奎晓燕</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2017jy39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基于建构主义的SPOC翻转课堂教学改革与实践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何小贤</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“双创”背景下信息安全专业课程开放式教学模式及方法研究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段桂华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基于应用场景的多学科融合实验教学模式研究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穆帅</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电气类专业“卓越计划”人才培养实践教育体系的探索与实践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Style w:val="7"/>
                <w:rFonts w:hint="default" w:ascii="Times New Roman" w:hAnsi="Times New Roman" w:cs="Times New Roman"/>
                <w:lang w:val="en-US" w:eastAsia="zh-CN" w:bidi="ar"/>
              </w:rPr>
              <w:t>陈有根</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信息院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电气信息类互动系统主题课堂的探索与实践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李志勇</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冶环院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基于ＯＢＥ理念的冶金工程专业全面实施卓越计划的人才培养模式</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杨喜云</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冶环院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以解决复杂工程问题为导向的《水污染控制工程》课程教学改革实践探索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唐崇俭</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冶环院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大学生开放性创新实验平台建设的研究与实践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方静</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冶环院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基于创新和工程能力培养的《大气污染控制工程》课程教学改革与实践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肖细元</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冶环院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《冶金工厂设计基础》教材建设</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李青刚</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2017jy49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冶环院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基于项目驱动的冶金工程专业英语教学模式研究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湛菁</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资安院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基于移动晕平台的安全工程将教学模式研究与实践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黄仁东</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法学院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生态文明法制教育的实践模式研究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陈海嵩</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公管院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理工科大学生哲学素养与自然科学素质培养的互动模式研究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周谨平</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公管院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基于实践能力培养的公共管理专业学生案例教学模式研究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张桂蓉</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建艺院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引导与辨析：微时代主体交互视域下《中国音乐史》教学改革新尝试</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潘娜</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建艺院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设计专业过程可视化教学探索与实践研究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徐皎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马克思院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基于蓝墨云班课的高校思政课互动式教学的探索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刘伟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2017jy59</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马克思院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基于SPOC的“中国近现代史纲要”混合式教学改革研究</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吴争春</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商学院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“互联网+”背景下大学生创新创业的“教育-实践-网络”融合模式研究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熊勇清</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体育教研部</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运动训练专业理论课“课内外一体化”教学改革研究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张卫强</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基于MOOC的大学英语课堂交互性的研究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马婧</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互联网+翻译在大学英语读写译课堂的应用研究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邓煜</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大学英语四六级计算机辅助口语考试考生焦虑研究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邓英姿</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交互式法语教学的网络平台设计与推广研究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中英伦葩</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国际英语听力理解能力培养模式</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邓军</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大学英语多元立体交互教学模式研究与构建</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李瑶</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基于混合式学习的大学英语泛在学习环境构建与评估</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傅晓燕</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2017jy69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外语院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语料库驱动下英语专业写作“1+1”教学模式构建</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马新强</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文新院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“互联网+”语境下外国文学经典教学模式的改革与创新</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纪海龙</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667"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文新院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中国古代文学经典作品导读的探索与实践——以小说、戏曲为中心</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周秋良</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本科生院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新工科建设引领下的高级工程人才协同培养模式研究与实践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欧阳辰星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4"/>
                <w:szCs w:val="24"/>
                <w:lang w:eastAsia="zh-CN"/>
              </w:rPr>
              <w:t>本科生院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基于大数据的预测式学业反馈系统研究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李跃辉</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kern w:val="0"/>
                <w:sz w:val="24"/>
                <w:szCs w:val="24"/>
                <w:lang w:eastAsia="zh-CN"/>
              </w:rPr>
              <w:t>本科生院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临床实习教学质量保障体系优化研究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李忠魁</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党委组织部</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高校教学研究项目管理和教学成果培育的研究与实践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穆克朗</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基于对分课堂模式的医学免疫学课程教学改革</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  洁</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中式教育背景下医学生“小组学习”实施现状评价与优化</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王晓晟</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医学类“大创”项目管理的回溯性分析及相关对策研究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肖雪珍</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2017jy79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对分课堂与翻转课堂教学模式教学效果的比较研究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暨明</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基于生理学网络资源大数据的高校医学生移动学习行为分析与研究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冯丹丹</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将大学生思想政治教育融入基础医学教学全过程的研究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罗自强</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基础医学院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提高基础医学教学质量的“金教鞭”工程体系的构建与实践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王慷慨</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2017jy83</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生命科学学院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互联网+BYOD教学模式在细胞生物学教学中的应用探索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文斗斗</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2017jy84</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湘雅护理学院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聚焦知识内化的护理教学方法改革--以内科护理学为例</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毛婷</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湘雅护理学院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护理专业学生学业拖延现状及其干预对策研究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杨敏</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湘雅二医院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基于幕课平台的翻转课堂模式在皮肤性病学教学中的应用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陆前进</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湘雅二医院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增强现实（</w:t>
            </w:r>
            <w:r>
              <w:rPr>
                <w:rStyle w:val="8"/>
                <w:rFonts w:hint="default" w:ascii="Times New Roman" w:hAnsi="Times New Roman" w:cs="Times New Roman"/>
                <w:lang w:val="en-US" w:eastAsia="zh-CN" w:bidi="ar"/>
              </w:rPr>
              <w:t>AR）全息投影技术在影像医学教学的探索与研究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陈翔宇</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以健康管理为导向的社区卫生服务教学改革及探索</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陈志恒</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2017jy89</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实习护生临床操作考核管理系统的设计与开发</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黄辉</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2017jy90</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同理心情景化系列训练在临床医学八年制医患沟通教学中的应用研究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唐秋萍</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基于虚拟现实技术的计算机虚拟病例联合</w:t>
            </w:r>
            <w:r>
              <w:rPr>
                <w:rStyle w:val="9"/>
                <w:rFonts w:hint="default" w:ascii="Times New Roman" w:hAnsi="Times New Roman" w:cs="Times New Roman"/>
                <w:lang w:val="en-US" w:eastAsia="zh-CN" w:bidi="ar"/>
              </w:rPr>
              <w:t>Simman模拟人教学模式在神经病学教学中的应用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胡中扬</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微信支持的翻转课堂联合</w:t>
            </w:r>
            <w:r>
              <w:rPr>
                <w:rStyle w:val="9"/>
                <w:rFonts w:hint="default" w:ascii="Times New Roman" w:hAnsi="Times New Roman" w:cs="Times New Roman"/>
                <w:lang w:val="en-US" w:eastAsia="zh-CN" w:bidi="ar"/>
              </w:rPr>
              <w:t>CBL 教学模式在内科实习循证医学思维培养中的应用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金</w:t>
            </w:r>
            <w:r>
              <w:rPr>
                <w:rStyle w:val="10"/>
                <w:rFonts w:hint="default" w:ascii="Times New Roman" w:hAnsi="Times New Roman" w:cs="Times New Roman"/>
                <w:lang w:val="en-US" w:eastAsia="zh-CN" w:bidi="ar"/>
              </w:rPr>
              <w:t xml:space="preserve"> </w:t>
            </w:r>
            <w:r>
              <w:rPr>
                <w:rStyle w:val="9"/>
                <w:rFonts w:hint="default" w:ascii="Times New Roman" w:hAnsi="Times New Roman" w:cs="Times New Roman"/>
                <w:lang w:val="en-US" w:eastAsia="zh-CN" w:bidi="ar"/>
              </w:rPr>
              <w:t>萍</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8"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2017jy95</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腔内发光</w:t>
            </w:r>
            <w:r>
              <w:rPr>
                <w:rStyle w:val="9"/>
                <w:rFonts w:hint="default" w:ascii="Times New Roman" w:hAnsi="Times New Roman" w:cs="Times New Roman"/>
                <w:lang w:val="en-US" w:eastAsia="zh-CN" w:bidi="ar"/>
              </w:rPr>
              <w:t>3D教具在耳鼻喉科的临床应用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柳岸</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2017jy96</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3D</w:t>
            </w:r>
            <w:r>
              <w:rPr>
                <w:rStyle w:val="9"/>
                <w:rFonts w:hint="default" w:ascii="Times New Roman" w:hAnsi="Times New Roman" w:cs="Times New Roman"/>
                <w:lang w:val="en-US" w:eastAsia="zh-CN" w:bidi="ar"/>
              </w:rPr>
              <w:t>仿生皮肤在激光实践操作教学中的应用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康健</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2017jy97</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医学生为主体的急救知识普及模式在急诊教学改革中的研究与实践</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彭玥</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2017jy98</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医学生临床医学伦理决策能力培养模式研究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王晓敏</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2017jy99</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多元智能理论指导下的</w:t>
            </w:r>
            <w:r>
              <w:rPr>
                <w:rStyle w:val="9"/>
                <w:rFonts w:hint="default" w:ascii="Times New Roman" w:hAnsi="Times New Roman" w:cs="Times New Roman"/>
                <w:lang w:val="en-US" w:eastAsia="zh-CN" w:bidi="ar"/>
              </w:rPr>
              <w:t>TBL联合翻转课堂在诊断学体格检查实践教学中的应用</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王晓艳</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2017jy100</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在临床实习中融通住院医师规范化</w:t>
            </w:r>
            <w:r>
              <w:rPr>
                <w:rStyle w:val="11"/>
                <w:rFonts w:hint="default" w:ascii="Times New Roman" w:hAnsi="Times New Roman" w:cs="Times New Roman"/>
                <w:lang w:val="en-US" w:eastAsia="zh-CN" w:bidi="ar"/>
              </w:rPr>
              <w:t>培训的研究与实践——以妇产科为例</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肖松舒</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2017jy101</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医学模拟教学中人文关怀与情境转移的实践教学改革</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朱海霞</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2017jy102</w:t>
            </w:r>
          </w:p>
        </w:tc>
        <w:tc>
          <w:tcPr>
            <w:tcW w:w="24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湘雅三医院</w:t>
            </w:r>
          </w:p>
        </w:tc>
        <w:tc>
          <w:tcPr>
            <w:tcW w:w="8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模块化教学方式在急诊医学教学中的应用研究</w:t>
            </w:r>
          </w:p>
        </w:tc>
        <w:tc>
          <w:tcPr>
            <w:tcW w:w="106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左钰</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2017jy103</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可视喉镜联合综合模拟人在临床麻醉气道管理教学中的应用研究</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杨勇</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2017jy104</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基于微课的翻转课堂、医疗新技术在内科学临床教学中的应用研究</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潘频华</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2017jy105</w:t>
            </w:r>
          </w:p>
        </w:tc>
        <w:tc>
          <w:tcPr>
            <w:tcW w:w="24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初探情境教学法结合PBL教学法在临床医学八年制早临床中的价值</w:t>
            </w:r>
          </w:p>
        </w:tc>
        <w:tc>
          <w:tcPr>
            <w:tcW w:w="1065"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徐美华</w:t>
            </w:r>
          </w:p>
        </w:tc>
        <w:tc>
          <w:tcPr>
            <w:tcW w:w="1263"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2017jy106</w:t>
            </w:r>
          </w:p>
        </w:tc>
        <w:tc>
          <w:tcPr>
            <w:tcW w:w="24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TBL联合高仿真模拟人情景教学在心血管急危重症教学中的应用</w:t>
            </w:r>
          </w:p>
        </w:tc>
        <w:tc>
          <w:tcPr>
            <w:tcW w:w="10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彭礼明</w:t>
            </w:r>
          </w:p>
        </w:tc>
        <w:tc>
          <w:tcPr>
            <w:tcW w:w="126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2017jy107</w:t>
            </w:r>
          </w:p>
        </w:tc>
        <w:tc>
          <w:tcPr>
            <w:tcW w:w="24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可视化设备操作平台在五年制麻醉学专业实习教学中的应用</w:t>
            </w:r>
          </w:p>
        </w:tc>
        <w:tc>
          <w:tcPr>
            <w:tcW w:w="10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孙志华</w:t>
            </w:r>
          </w:p>
        </w:tc>
        <w:tc>
          <w:tcPr>
            <w:tcW w:w="126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2017jy108</w:t>
            </w:r>
          </w:p>
        </w:tc>
        <w:tc>
          <w:tcPr>
            <w:tcW w:w="24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医学与艺术——试听训练（VATI）在诊断学教学中的运用及效果评估</w:t>
            </w:r>
          </w:p>
        </w:tc>
        <w:tc>
          <w:tcPr>
            <w:tcW w:w="10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夏珂</w:t>
            </w:r>
          </w:p>
        </w:tc>
        <w:tc>
          <w:tcPr>
            <w:tcW w:w="126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2017jy109</w:t>
            </w:r>
          </w:p>
        </w:tc>
        <w:tc>
          <w:tcPr>
            <w:tcW w:w="24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基于护理专业实习生转型冲击现况调查构建个性化实习护生培养方案</w:t>
            </w:r>
          </w:p>
        </w:tc>
        <w:tc>
          <w:tcPr>
            <w:tcW w:w="10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王曙红</w:t>
            </w:r>
          </w:p>
        </w:tc>
        <w:tc>
          <w:tcPr>
            <w:tcW w:w="126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2017jy110</w:t>
            </w:r>
          </w:p>
        </w:tc>
        <w:tc>
          <w:tcPr>
            <w:tcW w:w="24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湘雅医院</w:t>
            </w:r>
          </w:p>
        </w:tc>
        <w:tc>
          <w:tcPr>
            <w:tcW w:w="80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MST-CBL-MST复合教学法在外科教学中的应用研究</w:t>
            </w:r>
          </w:p>
        </w:tc>
        <w:tc>
          <w:tcPr>
            <w:tcW w:w="10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王宪伟</w:t>
            </w:r>
          </w:p>
        </w:tc>
        <w:tc>
          <w:tcPr>
            <w:tcW w:w="126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2017jy111</w:t>
            </w:r>
          </w:p>
        </w:tc>
        <w:tc>
          <w:tcPr>
            <w:tcW w:w="24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公共卫生学院</w:t>
            </w:r>
          </w:p>
        </w:tc>
        <w:tc>
          <w:tcPr>
            <w:tcW w:w="802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营养与食品安全案例库的构建及CBL教学法的应用实践研究</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杨丽娜</w:t>
            </w:r>
          </w:p>
        </w:tc>
        <w:tc>
          <w:tcPr>
            <w:tcW w:w="12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2017jy112</w:t>
            </w:r>
          </w:p>
        </w:tc>
        <w:tc>
          <w:tcPr>
            <w:tcW w:w="24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湘雅口腔医院</w:t>
            </w:r>
          </w:p>
        </w:tc>
        <w:tc>
          <w:tcPr>
            <w:tcW w:w="802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口腔颌面医学影像教学系统研发</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陈可佳</w:t>
            </w:r>
          </w:p>
        </w:tc>
        <w:tc>
          <w:tcPr>
            <w:tcW w:w="12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54" w:hRule="exact"/>
        </w:trPr>
        <w:tc>
          <w:tcPr>
            <w:tcW w:w="13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2017jy113</w:t>
            </w:r>
          </w:p>
        </w:tc>
        <w:tc>
          <w:tcPr>
            <w:tcW w:w="24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医学检验系</w:t>
            </w:r>
          </w:p>
        </w:tc>
        <w:tc>
          <w:tcPr>
            <w:tcW w:w="802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3"/>
                <w:szCs w:val="23"/>
              </w:rPr>
            </w:pPr>
            <w:r>
              <w:rPr>
                <w:rFonts w:hint="default" w:ascii="Times New Roman" w:hAnsi="Times New Roman" w:eastAsia="楷体_GB2312" w:cs="Times New Roman"/>
                <w:i w:val="0"/>
                <w:color w:val="000000"/>
                <w:kern w:val="0"/>
                <w:sz w:val="24"/>
                <w:szCs w:val="24"/>
                <w:u w:val="none"/>
                <w:lang w:val="en-US" w:eastAsia="zh-CN" w:bidi="ar"/>
              </w:rPr>
              <w:t>罕见血液细胞形态图谱库建设及多终端应用</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顾孔珍</w:t>
            </w:r>
          </w:p>
        </w:tc>
        <w:tc>
          <w:tcPr>
            <w:tcW w:w="12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4"/>
                <w:szCs w:val="24"/>
                <w:u w:val="none"/>
                <w:lang w:val="en-US" w:eastAsia="zh-CN" w:bidi="ar"/>
              </w:rPr>
            </w:pPr>
          </w:p>
        </w:tc>
      </w:tr>
    </w:tbl>
    <w:p>
      <w:pPr>
        <w:autoSpaceDE w:val="0"/>
        <w:autoSpaceDN w:val="0"/>
        <w:adjustRightInd w:val="0"/>
        <w:spacing w:line="560" w:lineRule="exact"/>
        <w:jc w:val="left"/>
        <w:rPr>
          <w:rFonts w:hint="eastAsia" w:ascii="黑体" w:hAnsi="黑体" w:eastAsia="黑体" w:cs="宋体"/>
          <w:b/>
          <w:bCs/>
          <w:color w:val="000000"/>
          <w:kern w:val="0"/>
          <w:sz w:val="32"/>
          <w:szCs w:val="32"/>
        </w:rPr>
      </w:pPr>
    </w:p>
    <w:p>
      <w:pPr>
        <w:autoSpaceDE w:val="0"/>
        <w:autoSpaceDN w:val="0"/>
        <w:adjustRightInd w:val="0"/>
        <w:spacing w:line="560" w:lineRule="exact"/>
        <w:jc w:val="left"/>
        <w:rPr>
          <w:rFonts w:ascii="黑体" w:hAnsi="黑体" w:eastAsia="黑体" w:cs="宋体"/>
          <w:b/>
          <w:bCs/>
          <w:color w:val="000000"/>
          <w:kern w:val="0"/>
          <w:sz w:val="32"/>
          <w:szCs w:val="32"/>
        </w:rPr>
      </w:pPr>
      <w:r>
        <w:rPr>
          <w:rFonts w:hint="eastAsia" w:ascii="黑体" w:hAnsi="黑体" w:eastAsia="黑体" w:cs="宋体"/>
          <w:b/>
          <w:bCs/>
          <w:color w:val="000000"/>
          <w:kern w:val="0"/>
          <w:sz w:val="32"/>
          <w:szCs w:val="32"/>
        </w:rPr>
        <w:t>二、继续教育类</w:t>
      </w:r>
    </w:p>
    <w:tbl>
      <w:tblPr>
        <w:tblStyle w:val="4"/>
        <w:tblW w:w="14124" w:type="dxa"/>
        <w:tblInd w:w="0" w:type="dxa"/>
        <w:tblLayout w:type="fixed"/>
        <w:tblCellMar>
          <w:top w:w="0" w:type="dxa"/>
          <w:left w:w="108" w:type="dxa"/>
          <w:bottom w:w="0" w:type="dxa"/>
          <w:right w:w="108" w:type="dxa"/>
        </w:tblCellMar>
      </w:tblPr>
      <w:tblGrid>
        <w:gridCol w:w="1342"/>
        <w:gridCol w:w="2025"/>
        <w:gridCol w:w="8400"/>
        <w:gridCol w:w="1080"/>
        <w:gridCol w:w="1277"/>
      </w:tblGrid>
      <w:tr>
        <w:tblPrEx>
          <w:tblLayout w:type="fixed"/>
          <w:tblCellMar>
            <w:top w:w="0" w:type="dxa"/>
            <w:left w:w="108" w:type="dxa"/>
            <w:bottom w:w="0" w:type="dxa"/>
            <w:right w:w="108" w:type="dxa"/>
          </w:tblCellMar>
        </w:tblPrEx>
        <w:trPr>
          <w:trHeight w:val="720" w:hRule="atLeast"/>
        </w:trPr>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ascii="楷体_GB2312" w:hAnsi="宋体" w:eastAsia="楷体_GB2312" w:cs="宋体"/>
                <w:b/>
                <w:bCs/>
                <w:kern w:val="0"/>
                <w:sz w:val="24"/>
                <w:szCs w:val="24"/>
              </w:rPr>
              <w:t>项目编号</w:t>
            </w:r>
          </w:p>
        </w:tc>
        <w:tc>
          <w:tcPr>
            <w:tcW w:w="20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单位</w:t>
            </w:r>
          </w:p>
        </w:tc>
        <w:tc>
          <w:tcPr>
            <w:tcW w:w="8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项目名称</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w:t>
            </w:r>
            <w:r>
              <w:rPr>
                <w:rFonts w:hint="eastAsia" w:ascii="楷体_GB2312" w:hAnsi="宋体" w:eastAsia="楷体_GB2312" w:cs="宋体"/>
                <w:b/>
                <w:bCs/>
                <w:kern w:val="0"/>
                <w:sz w:val="24"/>
                <w:szCs w:val="24"/>
              </w:rPr>
              <w:br w:type="textWrapping"/>
            </w:r>
            <w:r>
              <w:rPr>
                <w:rFonts w:hint="eastAsia" w:ascii="楷体_GB2312" w:hAnsi="宋体" w:eastAsia="楷体_GB2312" w:cs="宋体"/>
                <w:b/>
                <w:bCs/>
                <w:kern w:val="0"/>
                <w:sz w:val="24"/>
                <w:szCs w:val="24"/>
              </w:rPr>
              <w:t>负责人</w:t>
            </w:r>
          </w:p>
        </w:tc>
        <w:tc>
          <w:tcPr>
            <w:tcW w:w="12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备注</w:t>
            </w:r>
          </w:p>
        </w:tc>
      </w:tr>
      <w:tr>
        <w:tblPrEx>
          <w:tblLayout w:type="fixed"/>
          <w:tblCellMar>
            <w:top w:w="0" w:type="dxa"/>
            <w:left w:w="108" w:type="dxa"/>
            <w:bottom w:w="0" w:type="dxa"/>
            <w:right w:w="108" w:type="dxa"/>
          </w:tblCellMar>
        </w:tblPrEx>
        <w:trPr>
          <w:trHeight w:val="459" w:hRule="atLeast"/>
        </w:trPr>
        <w:tc>
          <w:tcPr>
            <w:tcW w:w="13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宋体"/>
                <w:kern w:val="0"/>
                <w:sz w:val="24"/>
                <w:szCs w:val="24"/>
                <w:lang w:val="en-US" w:eastAsia="zh-CN"/>
              </w:rPr>
            </w:pPr>
            <w:r>
              <w:rPr>
                <w:rFonts w:hint="eastAsia" w:ascii="华文楷体" w:hAnsi="华文楷体" w:eastAsia="华文楷体" w:cs="华文楷体"/>
                <w:kern w:val="0"/>
                <w:sz w:val="24"/>
                <w:szCs w:val="24"/>
              </w:rPr>
              <w:t>2016jy112</w:t>
            </w:r>
          </w:p>
        </w:tc>
        <w:tc>
          <w:tcPr>
            <w:tcW w:w="202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olor w:val="auto"/>
                <w:szCs w:val="21"/>
              </w:rPr>
            </w:pPr>
            <w:r>
              <w:rPr>
                <w:rFonts w:hint="eastAsia" w:ascii="华文楷体" w:hAnsi="华文楷体" w:eastAsia="华文楷体" w:cs="华文楷体"/>
                <w:kern w:val="0"/>
                <w:sz w:val="24"/>
                <w:szCs w:val="24"/>
              </w:rPr>
              <w:t>继续教育学院</w:t>
            </w:r>
          </w:p>
        </w:tc>
        <w:tc>
          <w:tcPr>
            <w:tcW w:w="8400"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楷体_GB2312"/>
                <w:i w:val="0"/>
                <w:color w:val="000000"/>
                <w:kern w:val="0"/>
                <w:sz w:val="24"/>
                <w:szCs w:val="24"/>
                <w:u w:val="none"/>
                <w:lang w:val="en-US" w:eastAsia="zh-CN" w:bidi="ar"/>
              </w:rPr>
            </w:pPr>
            <w:r>
              <w:rPr>
                <w:rFonts w:hint="eastAsia" w:ascii="华文楷体" w:hAnsi="华文楷体" w:eastAsia="华文楷体" w:cs="华文楷体"/>
                <w:kern w:val="0"/>
                <w:sz w:val="24"/>
                <w:szCs w:val="24"/>
              </w:rPr>
              <w:t>有色行业新型产业高端培训课程体系与实施模式研究</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楷体_GB2312"/>
                <w:i w:val="0"/>
                <w:color w:val="000000"/>
                <w:kern w:val="0"/>
                <w:sz w:val="24"/>
                <w:szCs w:val="24"/>
                <w:u w:val="none"/>
                <w:lang w:val="en-US" w:eastAsia="zh-CN" w:bidi="ar"/>
              </w:rPr>
            </w:pPr>
            <w:r>
              <w:rPr>
                <w:rFonts w:hint="eastAsia" w:ascii="华文楷体" w:hAnsi="华文楷体" w:eastAsia="华文楷体" w:cs="华文楷体"/>
                <w:kern w:val="0"/>
                <w:sz w:val="24"/>
                <w:szCs w:val="24"/>
              </w:rPr>
              <w:t>严希文</w:t>
            </w:r>
          </w:p>
        </w:tc>
        <w:tc>
          <w:tcPr>
            <w:tcW w:w="1277"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楷体_GB2312"/>
                <w:i w:val="0"/>
                <w:color w:val="000000"/>
                <w:kern w:val="0"/>
                <w:sz w:val="24"/>
                <w:szCs w:val="24"/>
                <w:u w:val="none"/>
                <w:lang w:val="en-US" w:eastAsia="zh-CN" w:bidi="ar"/>
              </w:rPr>
            </w:pPr>
            <w:r>
              <w:rPr>
                <w:rFonts w:hint="eastAsia" w:ascii="华文楷体" w:hAnsi="华文楷体" w:eastAsia="华文楷体" w:cs="华文楷体"/>
                <w:color w:val="000000"/>
                <w:kern w:val="0"/>
                <w:sz w:val="24"/>
                <w:szCs w:val="24"/>
                <w:lang w:eastAsia="zh-CN"/>
              </w:rPr>
              <w:t>必须结题</w:t>
            </w:r>
          </w:p>
        </w:tc>
      </w:tr>
      <w:tr>
        <w:tblPrEx>
          <w:tblLayout w:type="fixed"/>
          <w:tblCellMar>
            <w:top w:w="0" w:type="dxa"/>
            <w:left w:w="108" w:type="dxa"/>
            <w:bottom w:w="0" w:type="dxa"/>
            <w:right w:w="108" w:type="dxa"/>
          </w:tblCellMar>
        </w:tblPrEx>
        <w:trPr>
          <w:trHeight w:val="402" w:hRule="atLeast"/>
        </w:trPr>
        <w:tc>
          <w:tcPr>
            <w:tcW w:w="13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2017jy114</w:t>
            </w:r>
          </w:p>
        </w:tc>
        <w:tc>
          <w:tcPr>
            <w:tcW w:w="202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继续教育学院</w:t>
            </w:r>
          </w:p>
        </w:tc>
        <w:tc>
          <w:tcPr>
            <w:tcW w:w="840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健康中国战略下的医学学历继续教育的研究与实践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管茶香</w:t>
            </w:r>
          </w:p>
        </w:tc>
        <w:tc>
          <w:tcPr>
            <w:tcW w:w="12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2017jy115</w:t>
            </w:r>
          </w:p>
        </w:tc>
        <w:tc>
          <w:tcPr>
            <w:tcW w:w="202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继续教育学院</w:t>
            </w:r>
          </w:p>
        </w:tc>
        <w:tc>
          <w:tcPr>
            <w:tcW w:w="840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大数据时代学历继续教育智慧学习与精准就业教育服务平台的研究与实践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伍国良</w:t>
            </w:r>
          </w:p>
        </w:tc>
        <w:tc>
          <w:tcPr>
            <w:tcW w:w="1277"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42"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2017jy116</w:t>
            </w:r>
          </w:p>
        </w:tc>
        <w:tc>
          <w:tcPr>
            <w:tcW w:w="20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继续教育学院</w:t>
            </w:r>
          </w:p>
        </w:tc>
        <w:tc>
          <w:tcPr>
            <w:tcW w:w="840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新形势下高校继续教育思政工作研究与实践</w:t>
            </w:r>
          </w:p>
        </w:tc>
        <w:tc>
          <w:tcPr>
            <w:tcW w:w="108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任雷</w:t>
            </w:r>
          </w:p>
        </w:tc>
        <w:tc>
          <w:tcPr>
            <w:tcW w:w="1277" w:type="dxa"/>
            <w:tcBorders>
              <w:top w:val="nil"/>
              <w:left w:val="nil"/>
              <w:bottom w:val="single" w:color="auto" w:sz="4" w:space="0"/>
              <w:right w:val="single" w:color="auto" w:sz="4" w:space="0"/>
            </w:tcBorders>
            <w:shd w:val="clear" w:color="000000" w:fill="FFFFFF"/>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bl>
    <w:p>
      <w:pPr>
        <w:autoSpaceDE w:val="0"/>
        <w:autoSpaceDN w:val="0"/>
        <w:adjustRightInd w:val="0"/>
        <w:spacing w:line="560" w:lineRule="exact"/>
        <w:jc w:val="left"/>
        <w:rPr>
          <w:rFonts w:hint="eastAsia" w:ascii="黑体" w:hAnsi="黑体" w:eastAsia="黑体" w:cs="宋体"/>
          <w:b/>
          <w:bCs/>
          <w:color w:val="000000"/>
          <w:kern w:val="0"/>
          <w:sz w:val="32"/>
          <w:szCs w:val="32"/>
        </w:rPr>
      </w:pPr>
    </w:p>
    <w:p>
      <w:pPr>
        <w:autoSpaceDE w:val="0"/>
        <w:autoSpaceDN w:val="0"/>
        <w:adjustRightInd w:val="0"/>
        <w:spacing w:line="560" w:lineRule="exact"/>
        <w:jc w:val="left"/>
        <w:rPr>
          <w:rFonts w:ascii="黑体" w:hAnsi="黑体" w:eastAsia="黑体" w:cs="宋体"/>
          <w:b/>
          <w:bCs/>
          <w:color w:val="000000"/>
          <w:kern w:val="0"/>
          <w:sz w:val="32"/>
          <w:szCs w:val="32"/>
        </w:rPr>
      </w:pPr>
      <w:r>
        <w:rPr>
          <w:rFonts w:hint="eastAsia" w:ascii="黑体" w:hAnsi="黑体" w:eastAsia="黑体" w:cs="宋体"/>
          <w:b/>
          <w:bCs/>
          <w:color w:val="000000"/>
          <w:kern w:val="0"/>
          <w:sz w:val="32"/>
          <w:szCs w:val="32"/>
        </w:rPr>
        <w:t>三、网络教育类</w:t>
      </w:r>
    </w:p>
    <w:tbl>
      <w:tblPr>
        <w:tblStyle w:val="4"/>
        <w:tblW w:w="14125" w:type="dxa"/>
        <w:tblInd w:w="0" w:type="dxa"/>
        <w:tblLayout w:type="fixed"/>
        <w:tblCellMar>
          <w:top w:w="0" w:type="dxa"/>
          <w:left w:w="108" w:type="dxa"/>
          <w:bottom w:w="0" w:type="dxa"/>
          <w:right w:w="108" w:type="dxa"/>
        </w:tblCellMar>
      </w:tblPr>
      <w:tblGrid>
        <w:gridCol w:w="1372"/>
        <w:gridCol w:w="1995"/>
        <w:gridCol w:w="8385"/>
        <w:gridCol w:w="1080"/>
        <w:gridCol w:w="1293"/>
      </w:tblGrid>
      <w:tr>
        <w:tblPrEx>
          <w:tblLayout w:type="fixed"/>
          <w:tblCellMar>
            <w:top w:w="0" w:type="dxa"/>
            <w:left w:w="108" w:type="dxa"/>
            <w:bottom w:w="0" w:type="dxa"/>
            <w:right w:w="108" w:type="dxa"/>
          </w:tblCellMar>
        </w:tblPrEx>
        <w:trPr>
          <w:trHeight w:val="720" w:hRule="atLeast"/>
        </w:trPr>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序号</w:t>
            </w:r>
          </w:p>
        </w:tc>
        <w:tc>
          <w:tcPr>
            <w:tcW w:w="19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单位</w:t>
            </w:r>
          </w:p>
        </w:tc>
        <w:tc>
          <w:tcPr>
            <w:tcW w:w="83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项目名称</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w:t>
            </w:r>
            <w:r>
              <w:rPr>
                <w:rFonts w:hint="eastAsia" w:ascii="楷体_GB2312" w:hAnsi="宋体" w:eastAsia="楷体_GB2312" w:cs="宋体"/>
                <w:b/>
                <w:bCs/>
                <w:kern w:val="0"/>
                <w:sz w:val="24"/>
                <w:szCs w:val="24"/>
              </w:rPr>
              <w:br w:type="textWrapping"/>
            </w:r>
            <w:r>
              <w:rPr>
                <w:rFonts w:hint="eastAsia" w:ascii="楷体_GB2312" w:hAnsi="宋体" w:eastAsia="楷体_GB2312" w:cs="宋体"/>
                <w:b/>
                <w:bCs/>
                <w:kern w:val="0"/>
                <w:sz w:val="24"/>
                <w:szCs w:val="24"/>
              </w:rPr>
              <w:t>负责人</w:t>
            </w:r>
          </w:p>
        </w:tc>
        <w:tc>
          <w:tcPr>
            <w:tcW w:w="12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备注</w:t>
            </w: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1</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文学院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以社交软件为辅助手段的网络学习专注度提升研究</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叶烨</w:t>
            </w:r>
          </w:p>
        </w:tc>
        <w:tc>
          <w:tcPr>
            <w:tcW w:w="129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楷体_GB2312" w:hAnsi="宋体" w:eastAsia="楷体_GB2312" w:cs="楷体_GB2312"/>
                <w:i w:val="0"/>
                <w:color w:val="000000"/>
                <w:kern w:val="0"/>
                <w:sz w:val="24"/>
                <w:szCs w:val="24"/>
                <w:u w:val="none"/>
                <w:lang w:val="en-US" w:eastAsia="zh-CN" w:bidi="ar"/>
              </w:rPr>
            </w:pPr>
            <w:r>
              <w:rPr>
                <w:rFonts w:hint="eastAsia" w:ascii="华文楷体" w:hAnsi="华文楷体" w:eastAsia="华文楷体" w:cs="华文楷体"/>
                <w:color w:val="000000"/>
                <w:kern w:val="0"/>
                <w:sz w:val="24"/>
                <w:szCs w:val="24"/>
                <w:lang w:eastAsia="zh-CN"/>
              </w:rPr>
              <w:t>必须结题</w:t>
            </w: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2017jy117</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网络教育学院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基于质量控制的网络教育本科毕业论文过程管理研究</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段星波</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2017jy118</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交通院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 xml:space="preserve"> 现代远程教育实践教学体系研究——以交通运输专业为例</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张云丽</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2017jy119</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网络教育学院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基于SPOC的网络课程教学模式应用研究</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吴春华</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2017jy120</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湘雅三医院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远程教育专升本段护理专业学生职业规划现状研究</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黄伟</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2017jy121</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网络教育学院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基于“学习体验”的网络课程资源制作研究与实践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彭佳扬</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2017jy122</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网络教育学院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护理学现代远程教育质量保障体系的研究与实践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郑建梅</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2017jy123</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护理学院</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基于网络教学的《基础护理学》教材设计与开发</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杨敏</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402"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2017jy124</w:t>
            </w:r>
          </w:p>
        </w:tc>
        <w:tc>
          <w:tcPr>
            <w:tcW w:w="199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信息与网络中心</w:t>
            </w:r>
          </w:p>
        </w:tc>
        <w:tc>
          <w:tcPr>
            <w:tcW w:w="8385"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 xml:space="preserve">移动互联网条件下网络远程教育资源开发的创新研究与实践  </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kern w:val="0"/>
                <w:sz w:val="24"/>
                <w:szCs w:val="24"/>
                <w:lang w:val="en-US" w:eastAsia="zh-CN"/>
              </w:rPr>
              <w:t>孙谦</w:t>
            </w:r>
          </w:p>
        </w:tc>
        <w:tc>
          <w:tcPr>
            <w:tcW w:w="1293" w:type="dxa"/>
            <w:tcBorders>
              <w:top w:val="nil"/>
              <w:left w:val="nil"/>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楷体_GB2312" w:hAnsi="宋体" w:eastAsia="楷体_GB2312" w:cs="楷体_GB2312"/>
                <w:i w:val="0"/>
                <w:color w:val="000000"/>
                <w:kern w:val="0"/>
                <w:sz w:val="24"/>
                <w:szCs w:val="24"/>
                <w:u w:val="none"/>
                <w:lang w:val="en-US" w:eastAsia="zh-CN" w:bidi="ar"/>
              </w:rPr>
            </w:pPr>
          </w:p>
        </w:tc>
      </w:tr>
    </w:tbl>
    <w:p>
      <w:pPr>
        <w:numPr>
          <w:ilvl w:val="0"/>
          <w:numId w:val="0"/>
        </w:numPr>
        <w:jc w:val="left"/>
        <w:rPr>
          <w:rFonts w:hint="eastAsia" w:ascii="仿宋_GB2312" w:hAnsi="仿宋" w:eastAsia="仿宋_GB2312"/>
          <w:sz w:val="32"/>
          <w:szCs w:val="32"/>
          <w:lang w:val="en-US"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WinCharSetFFFF-H">
    <w:altName w:val="宋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4033A4"/>
    <w:rsid w:val="00540344"/>
    <w:rsid w:val="084033A4"/>
    <w:rsid w:val="13D11A70"/>
    <w:rsid w:val="1DD67B5D"/>
    <w:rsid w:val="22855FAB"/>
    <w:rsid w:val="334B3C08"/>
    <w:rsid w:val="39C22CD9"/>
    <w:rsid w:val="41236D55"/>
    <w:rsid w:val="44672181"/>
    <w:rsid w:val="49AA4838"/>
    <w:rsid w:val="50721A85"/>
    <w:rsid w:val="587B6777"/>
    <w:rsid w:val="6B687976"/>
    <w:rsid w:val="7E553767"/>
    <w:rsid w:val="7E743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next w:val="1"/>
    <w:qFormat/>
    <w:uiPriority w:val="0"/>
    <w:pPr>
      <w:widowControl/>
      <w:ind w:firstLine="420"/>
    </w:pPr>
    <w:rPr>
      <w:rFonts w:ascii="Times New Roman" w:hAnsi="Times New Roman" w:eastAsia="宋体" w:cs="Times New Roman"/>
      <w:color w:val="000000"/>
      <w:szCs w:val="20"/>
    </w:rPr>
  </w:style>
  <w:style w:type="character" w:customStyle="1" w:styleId="5">
    <w:name w:val="font41"/>
    <w:basedOn w:val="3"/>
    <w:qFormat/>
    <w:uiPriority w:val="0"/>
    <w:rPr>
      <w:rFonts w:hint="eastAsia" w:ascii="楷体_GB2312" w:eastAsia="楷体_GB2312" w:cs="楷体_GB2312"/>
      <w:color w:val="000000"/>
      <w:sz w:val="21"/>
      <w:szCs w:val="21"/>
      <w:u w:val="none"/>
    </w:rPr>
  </w:style>
  <w:style w:type="character" w:customStyle="1" w:styleId="6">
    <w:name w:val="font31"/>
    <w:basedOn w:val="3"/>
    <w:qFormat/>
    <w:uiPriority w:val="0"/>
    <w:rPr>
      <w:rFonts w:hint="eastAsia" w:ascii="宋体" w:hAnsi="宋体" w:eastAsia="宋体" w:cs="宋体"/>
      <w:color w:val="000000"/>
      <w:sz w:val="23"/>
      <w:szCs w:val="23"/>
      <w:u w:val="none"/>
    </w:rPr>
  </w:style>
  <w:style w:type="character" w:customStyle="1" w:styleId="7">
    <w:name w:val="font01"/>
    <w:basedOn w:val="3"/>
    <w:qFormat/>
    <w:uiPriority w:val="0"/>
    <w:rPr>
      <w:rFonts w:hint="eastAsia" w:ascii="楷体_GB2312" w:eastAsia="楷体_GB2312" w:cs="楷体_GB2312"/>
      <w:color w:val="000000"/>
      <w:sz w:val="24"/>
      <w:szCs w:val="24"/>
      <w:u w:val="none"/>
    </w:rPr>
  </w:style>
  <w:style w:type="character" w:customStyle="1" w:styleId="8">
    <w:name w:val="font61"/>
    <w:basedOn w:val="3"/>
    <w:qFormat/>
    <w:uiPriority w:val="0"/>
    <w:rPr>
      <w:rFonts w:hint="eastAsia" w:ascii="楷体_GB2312" w:eastAsia="楷体_GB2312" w:cs="楷体_GB2312"/>
      <w:color w:val="000000"/>
      <w:sz w:val="24"/>
      <w:szCs w:val="24"/>
      <w:u w:val="none"/>
    </w:rPr>
  </w:style>
  <w:style w:type="character" w:customStyle="1" w:styleId="9">
    <w:name w:val="font51"/>
    <w:basedOn w:val="3"/>
    <w:qFormat/>
    <w:uiPriority w:val="0"/>
    <w:rPr>
      <w:rFonts w:hint="eastAsia" w:ascii="楷体_GB2312" w:eastAsia="楷体_GB2312" w:cs="楷体_GB2312"/>
      <w:color w:val="000000"/>
      <w:sz w:val="21"/>
      <w:szCs w:val="21"/>
      <w:u w:val="none"/>
    </w:rPr>
  </w:style>
  <w:style w:type="character" w:customStyle="1" w:styleId="10">
    <w:name w:val="font81"/>
    <w:basedOn w:val="3"/>
    <w:qFormat/>
    <w:uiPriority w:val="0"/>
    <w:rPr>
      <w:rFonts w:ascii="华文行楷" w:hAnsi="华文行楷" w:eastAsia="华文行楷" w:cs="华文行楷"/>
      <w:color w:val="000000"/>
      <w:sz w:val="21"/>
      <w:szCs w:val="21"/>
      <w:u w:val="none"/>
    </w:rPr>
  </w:style>
  <w:style w:type="character" w:customStyle="1" w:styleId="11">
    <w:name w:val="font71"/>
    <w:basedOn w:val="3"/>
    <w:qFormat/>
    <w:uiPriority w:val="0"/>
    <w:rPr>
      <w:rFonts w:hint="eastAsia" w:ascii="楷体_GB2312" w:eastAsia="楷体_GB2312" w:cs="楷体_GB2312"/>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2018-01-17T00:27:00Z</dcterms:created>
  <dc:creator>tekapo1371222038</dc:creator>
  <cp:lastModifiedBy>tekapo1371222038</cp:lastModifiedBy>
  <dcterms:modified xsi:type="dcterms:W3CDTF">2019-01-18T03:25:39Z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y fmtid="{D5CDD505-2E9C-101B-9397-08002B2CF9AE}" pid="3" name="KSORubyTemplateID" linkTarget="0">
    <vt:lpwstr>6</vt:lpwstr>
  </property>
</Properties>
</file>