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2"/>
        <w:rPr>
          <w:rFonts w:ascii="Times New Roman"/>
          <w:sz w:val="12"/>
        </w:rPr>
      </w:pPr>
    </w:p>
    <w:p>
      <w:pPr>
        <w:pStyle w:val="BodyText"/>
        <w:ind w:left="852"/>
        <w:rPr>
          <w:rFonts w:ascii="Times New Roman"/>
          <w:sz w:val="20"/>
        </w:rPr>
      </w:pPr>
      <w:r>
        <w:rPr>
          <w:rFonts w:ascii="Times New Roman"/>
          <w:sz w:val="20"/>
        </w:rPr>
        <w:drawing>
          <wp:inline distT="0" distB="0" distL="0" distR="0">
            <wp:extent cx="4321968" cy="523875"/>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4321968" cy="523875"/>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08"/>
        <w:ind w:left="451" w:right="611"/>
        <w:jc w:val="center"/>
      </w:pPr>
      <w:r>
        <w:rPr/>
        <w:t>中大研字〔</w:t>
      </w:r>
      <w:r>
        <w:rPr>
          <w:rFonts w:ascii="Times New Roman" w:eastAsia="Times New Roman"/>
        </w:rPr>
        <w:t>2019</w:t>
      </w:r>
      <w:r>
        <w:rPr/>
        <w:t>〕</w:t>
      </w:r>
      <w:r>
        <w:rPr>
          <w:rFonts w:ascii="Times New Roman" w:eastAsia="Times New Roman"/>
        </w:rPr>
        <w:t>57 </w:t>
      </w:r>
      <w:r>
        <w:rPr/>
        <w:t>号</w:t>
      </w:r>
    </w:p>
    <w:p>
      <w:pPr>
        <w:pStyle w:val="BodyText"/>
        <w:spacing w:before="12"/>
        <w:rPr>
          <w:sz w:val="22"/>
        </w:rPr>
      </w:pPr>
      <w:r>
        <w:rPr/>
        <w:pict>
          <v:line style="position:absolute;mso-position-horizontal-relative:page;mso-position-vertical-relative:paragraph;z-index:-251658240;mso-wrap-distance-left:0;mso-wrap-distance-right:0" from="90.599998pt,17.802929pt" to="504.599998pt,17.802929pt" stroked="true" strokeweight="2.25pt" strokecolor="#ff0000">
            <v:stroke dashstyle="solid"/>
            <w10:wrap type="topAndBottom"/>
          </v:line>
        </w:pict>
      </w:r>
    </w:p>
    <w:p>
      <w:pPr>
        <w:pStyle w:val="BodyText"/>
        <w:rPr>
          <w:sz w:val="34"/>
        </w:rPr>
      </w:pPr>
    </w:p>
    <w:p>
      <w:pPr>
        <w:pStyle w:val="BodyText"/>
        <w:rPr>
          <w:sz w:val="34"/>
        </w:rPr>
      </w:pPr>
    </w:p>
    <w:p>
      <w:pPr>
        <w:pStyle w:val="BodyText"/>
        <w:spacing w:before="7"/>
        <w:rPr>
          <w:sz w:val="36"/>
        </w:rPr>
      </w:pPr>
    </w:p>
    <w:p>
      <w:pPr>
        <w:pStyle w:val="Heading1"/>
        <w:spacing w:line="273" w:lineRule="auto"/>
        <w:ind w:right="612"/>
      </w:pPr>
      <w:r>
        <w:rPr/>
        <w:t>关于印发《中南大学研究生培养环节工作管理办法》的通知</w:t>
      </w:r>
    </w:p>
    <w:p>
      <w:pPr>
        <w:pStyle w:val="BodyText"/>
        <w:spacing w:before="7"/>
        <w:rPr>
          <w:sz w:val="66"/>
        </w:rPr>
      </w:pPr>
    </w:p>
    <w:p>
      <w:pPr>
        <w:pStyle w:val="BodyText"/>
        <w:spacing w:before="1"/>
        <w:ind w:left="104"/>
      </w:pPr>
      <w:r>
        <w:rPr/>
        <w:t>各二级单位：</w:t>
      </w:r>
    </w:p>
    <w:p>
      <w:pPr>
        <w:pStyle w:val="BodyText"/>
        <w:spacing w:before="151"/>
        <w:ind w:right="262"/>
        <w:jc w:val="right"/>
        <w:rPr>
          <w:rFonts w:ascii="Times New Roman" w:eastAsia="Times New Roman"/>
        </w:rPr>
      </w:pPr>
      <w:r>
        <w:rPr>
          <w:spacing w:val="-10"/>
        </w:rPr>
        <w:t>《中南大学研究生培养环节工作管理办法》已经 </w:t>
      </w:r>
      <w:r>
        <w:rPr>
          <w:rFonts w:ascii="Times New Roman" w:eastAsia="Times New Roman"/>
        </w:rPr>
        <w:t>2019</w:t>
      </w:r>
      <w:r>
        <w:rPr>
          <w:rFonts w:ascii="Times New Roman" w:eastAsia="Times New Roman"/>
          <w:spacing w:val="-4"/>
        </w:rPr>
        <w:t> </w:t>
      </w:r>
      <w:r>
        <w:rPr>
          <w:spacing w:val="-42"/>
        </w:rPr>
        <w:t>年 </w:t>
      </w:r>
      <w:r>
        <w:rPr>
          <w:rFonts w:ascii="Times New Roman" w:eastAsia="Times New Roman"/>
        </w:rPr>
        <w:t>7</w:t>
      </w:r>
    </w:p>
    <w:p>
      <w:pPr>
        <w:pStyle w:val="BodyText"/>
        <w:spacing w:before="149"/>
        <w:ind w:right="240"/>
        <w:jc w:val="right"/>
      </w:pPr>
      <w:r>
        <w:rPr>
          <w:spacing w:val="-43"/>
        </w:rPr>
        <w:t>月 </w:t>
      </w:r>
      <w:r>
        <w:rPr>
          <w:rFonts w:ascii="Times New Roman" w:eastAsia="Times New Roman"/>
        </w:rPr>
        <w:t>5</w:t>
      </w:r>
      <w:r>
        <w:rPr>
          <w:rFonts w:ascii="Times New Roman" w:eastAsia="Times New Roman"/>
          <w:spacing w:val="-5"/>
        </w:rPr>
        <w:t> </w:t>
      </w:r>
      <w:r>
        <w:rPr/>
        <w:t>日校务会议讨论通过，现印发给你们，请认真遵照执行。</w:t>
      </w:r>
    </w:p>
    <w:p>
      <w:pPr>
        <w:pStyle w:val="BodyText"/>
        <w:rPr>
          <w:sz w:val="34"/>
        </w:rPr>
      </w:pPr>
    </w:p>
    <w:p>
      <w:pPr>
        <w:pStyle w:val="BodyText"/>
        <w:rPr>
          <w:sz w:val="34"/>
        </w:rPr>
      </w:pPr>
    </w:p>
    <w:p>
      <w:pPr>
        <w:pStyle w:val="BodyText"/>
        <w:rPr>
          <w:sz w:val="34"/>
        </w:rPr>
      </w:pPr>
    </w:p>
    <w:p>
      <w:pPr>
        <w:pStyle w:val="BodyText"/>
        <w:spacing w:before="235"/>
        <w:ind w:left="5864"/>
      </w:pPr>
      <w:r>
        <w:rPr/>
        <w:t>中南大学</w:t>
      </w:r>
    </w:p>
    <w:p>
      <w:pPr>
        <w:pStyle w:val="BodyText"/>
        <w:spacing w:before="91"/>
        <w:ind w:left="5384"/>
      </w:pPr>
      <w:r>
        <w:rPr>
          <w:rFonts w:ascii="Times New Roman" w:eastAsia="Times New Roman"/>
        </w:rPr>
        <w:t>2019 </w:t>
      </w:r>
      <w:r>
        <w:rPr/>
        <w:t>年 </w:t>
      </w:r>
      <w:r>
        <w:rPr>
          <w:rFonts w:ascii="Times New Roman" w:eastAsia="Times New Roman"/>
        </w:rPr>
        <w:t>7 </w:t>
      </w:r>
      <w:r>
        <w:rPr/>
        <w:t>月 </w:t>
      </w:r>
      <w:r>
        <w:rPr>
          <w:rFonts w:ascii="Times New Roman" w:eastAsia="Times New Roman"/>
        </w:rPr>
        <w:t>19 </w:t>
      </w:r>
      <w:r>
        <w:rPr/>
        <w:t>日</w:t>
      </w:r>
    </w:p>
    <w:p>
      <w:pPr>
        <w:spacing w:after="0"/>
        <w:sectPr>
          <w:footerReference w:type="default" r:id="rId5"/>
          <w:footerReference w:type="even" r:id="rId6"/>
          <w:type w:val="continuous"/>
          <w:pgSz w:w="11910" w:h="16840"/>
          <w:pgMar w:footer="1274" w:top="1580" w:bottom="1460" w:left="1540" w:right="1380"/>
          <w:pgNumType w:start="1"/>
        </w:sectPr>
      </w:pPr>
    </w:p>
    <w:p>
      <w:pPr>
        <w:pStyle w:val="BodyText"/>
        <w:spacing w:before="1"/>
        <w:rPr>
          <w:sz w:val="9"/>
        </w:rPr>
      </w:pPr>
    </w:p>
    <w:p>
      <w:pPr>
        <w:pStyle w:val="Heading1"/>
        <w:spacing w:before="57"/>
      </w:pPr>
      <w:r>
        <w:rPr/>
        <w:t>中南大学研究生培养环节工作管理办法</w:t>
      </w:r>
    </w:p>
    <w:p>
      <w:pPr>
        <w:pStyle w:val="BodyText"/>
        <w:spacing w:before="72"/>
        <w:ind w:left="451" w:right="608"/>
        <w:jc w:val="center"/>
      </w:pPr>
      <w:r>
        <w:rPr/>
        <w:t>（</w:t>
      </w:r>
      <w:r>
        <w:rPr>
          <w:rFonts w:ascii="Times New Roman" w:eastAsia="Times New Roman"/>
        </w:rPr>
        <w:t>2019</w:t>
      </w:r>
      <w:r>
        <w:rPr/>
        <w:t>年</w:t>
      </w:r>
      <w:r>
        <w:rPr>
          <w:rFonts w:ascii="Times New Roman" w:eastAsia="Times New Roman"/>
        </w:rPr>
        <w:t>7</w:t>
      </w:r>
      <w:r>
        <w:rPr/>
        <w:t>月</w:t>
      </w:r>
      <w:r>
        <w:rPr>
          <w:rFonts w:ascii="Times New Roman" w:eastAsia="Times New Roman"/>
        </w:rPr>
        <w:t>5</w:t>
      </w:r>
      <w:r>
        <w:rPr/>
        <w:t>日校务会议讨论通过）</w:t>
      </w:r>
    </w:p>
    <w:p>
      <w:pPr>
        <w:pStyle w:val="BodyText"/>
        <w:rPr>
          <w:sz w:val="34"/>
        </w:rPr>
      </w:pPr>
    </w:p>
    <w:p>
      <w:pPr>
        <w:pStyle w:val="BodyText"/>
        <w:rPr>
          <w:sz w:val="34"/>
        </w:rPr>
      </w:pPr>
    </w:p>
    <w:p>
      <w:pPr>
        <w:pStyle w:val="BodyText"/>
        <w:tabs>
          <w:tab w:pos="1279" w:val="left" w:leader="none"/>
          <w:tab w:pos="1919" w:val="left" w:leader="none"/>
        </w:tabs>
        <w:spacing w:before="298"/>
        <w:ind w:right="157"/>
        <w:jc w:val="center"/>
        <w:rPr>
          <w:rFonts w:ascii="黑体" w:eastAsia="黑体" w:hint="eastAsia"/>
        </w:rPr>
      </w:pPr>
      <w:r>
        <w:rPr>
          <w:rFonts w:ascii="黑体" w:eastAsia="黑体" w:hint="eastAsia"/>
        </w:rPr>
        <w:t>第一章</w:t>
        <w:tab/>
        <w:t>总</w:t>
        <w:tab/>
        <w:t>则</w:t>
      </w:r>
    </w:p>
    <w:p>
      <w:pPr>
        <w:pStyle w:val="BodyText"/>
        <w:spacing w:before="11"/>
        <w:rPr>
          <w:rFonts w:ascii="黑体"/>
          <w:sz w:val="28"/>
        </w:rPr>
      </w:pPr>
    </w:p>
    <w:p>
      <w:pPr>
        <w:pStyle w:val="BodyText"/>
        <w:spacing w:line="316" w:lineRule="auto"/>
        <w:ind w:left="104" w:right="103" w:firstLine="640"/>
      </w:pPr>
      <w:r>
        <w:rPr>
          <w:spacing w:val="-2"/>
        </w:rPr>
        <w:t>第一条 为加强培养过程管理，进一步规范研究生培养环</w:t>
      </w:r>
      <w:r>
        <w:rPr>
          <w:spacing w:val="-5"/>
        </w:rPr>
        <w:t>节工作，提高研究生培养质量，根据《中华人民共和国学位条</w:t>
      </w:r>
      <w:r>
        <w:rPr>
          <w:spacing w:val="-21"/>
        </w:rPr>
        <w:t>例》《中华人民共和国学位条例暂行实施办法》《普通高等学校</w:t>
      </w:r>
      <w:r>
        <w:rPr>
          <w:spacing w:val="-24"/>
        </w:rPr>
        <w:t>学生管理规定》《中南大学研究生学籍管理规定》《中南大学研</w:t>
      </w:r>
      <w:r>
        <w:rPr>
          <w:spacing w:val="-20"/>
          <w:w w:val="95"/>
        </w:rPr>
        <w:t>究生培养方案》及《中南大学学位授予工作条例》等文件要求， </w:t>
      </w:r>
      <w:r>
        <w:rPr>
          <w:spacing w:val="-20"/>
        </w:rPr>
        <w:t>结合学校实际，制定本办法。</w:t>
      </w:r>
    </w:p>
    <w:p>
      <w:pPr>
        <w:pStyle w:val="BodyText"/>
        <w:tabs>
          <w:tab w:pos="2023" w:val="left" w:leader="none"/>
        </w:tabs>
        <w:spacing w:line="316" w:lineRule="auto"/>
        <w:ind w:left="104" w:right="103" w:firstLine="640"/>
      </w:pPr>
      <w:r>
        <w:rPr/>
        <w:t>第二条</w:t>
        <w:tab/>
        <w:t>研究生培养环节主要包括课程学习</w:t>
      </w:r>
      <w:r>
        <w:rPr>
          <w:spacing w:val="-22"/>
        </w:rPr>
        <w:t>、</w:t>
      </w:r>
      <w:r>
        <w:rPr/>
        <w:t>博士生资格考试、学位论文开题报告、中期考核、学术交流、年度考核、科研训练</w:t>
      </w:r>
      <w:r>
        <w:rPr>
          <w:spacing w:val="-5"/>
        </w:rPr>
        <w:t>、</w:t>
      </w:r>
      <w:r>
        <w:rPr/>
        <w:t>专业实</w:t>
      </w:r>
      <w:r>
        <w:rPr>
          <w:spacing w:val="-5"/>
        </w:rPr>
        <w:t>践</w:t>
      </w:r>
      <w:r>
        <w:rPr/>
        <w:t>（硕士专业学位</w:t>
      </w:r>
      <w:r>
        <w:rPr>
          <w:spacing w:val="-5"/>
        </w:rPr>
        <w:t>）</w:t>
      </w:r>
      <w:r>
        <w:rPr/>
        <w:t>和社会实践等</w:t>
      </w:r>
      <w:r>
        <w:rPr>
          <w:spacing w:val="-5"/>
        </w:rPr>
        <w:t>。</w:t>
      </w:r>
      <w:r>
        <w:rPr/>
        <w:t>课程学习</w:t>
      </w:r>
      <w:r>
        <w:rPr>
          <w:spacing w:val="-3"/>
        </w:rPr>
        <w:t>按《</w:t>
      </w:r>
      <w:r>
        <w:rPr/>
        <w:t>中南大学课程教学管理办法</w:t>
      </w:r>
      <w:r>
        <w:rPr>
          <w:spacing w:val="-3"/>
        </w:rPr>
        <w:t>》</w:t>
      </w:r>
      <w:r>
        <w:rPr/>
        <w:t>执行</w:t>
      </w:r>
      <w:r>
        <w:rPr>
          <w:spacing w:val="-5"/>
        </w:rPr>
        <w:t>，</w:t>
      </w:r>
      <w:r>
        <w:rPr/>
        <w:t>专业实践</w:t>
      </w:r>
      <w:r>
        <w:rPr>
          <w:spacing w:val="-3"/>
        </w:rPr>
        <w:t>按</w:t>
      </w:r>
      <w:r>
        <w:rPr/>
        <w:t>《中南</w:t>
      </w:r>
      <w:r>
        <w:rPr>
          <w:w w:val="95"/>
        </w:rPr>
        <w:t>大学硕士专业学位研究生专业实践管理规定</w:t>
      </w:r>
      <w:r>
        <w:rPr>
          <w:spacing w:val="-89"/>
          <w:w w:val="95"/>
        </w:rPr>
        <w:t>》</w:t>
      </w:r>
      <w:r>
        <w:rPr>
          <w:w w:val="95"/>
        </w:rPr>
        <w:t>执行</w:t>
      </w:r>
      <w:r>
        <w:rPr>
          <w:spacing w:val="-89"/>
          <w:w w:val="95"/>
        </w:rPr>
        <w:t>，</w:t>
      </w:r>
      <w:r>
        <w:rPr>
          <w:w w:val="95"/>
        </w:rPr>
        <w:t>学术交流、 </w:t>
      </w:r>
      <w:r>
        <w:rPr/>
        <w:t>年度考核</w:t>
      </w:r>
      <w:r>
        <w:rPr>
          <w:spacing w:val="-22"/>
        </w:rPr>
        <w:t>、</w:t>
      </w:r>
      <w:r>
        <w:rPr/>
        <w:t>科研训练和社会实践等培养环节按各专业培养方案要求执行</w:t>
      </w:r>
      <w:r>
        <w:rPr>
          <w:spacing w:val="-7"/>
        </w:rPr>
        <w:t>，</w:t>
      </w:r>
      <w:r>
        <w:rPr/>
        <w:t>博士生资格考试</w:t>
      </w:r>
      <w:r>
        <w:rPr>
          <w:spacing w:val="-7"/>
        </w:rPr>
        <w:t>、</w:t>
      </w:r>
      <w:r>
        <w:rPr/>
        <w:t>学位论文开题</w:t>
      </w:r>
      <w:r>
        <w:rPr>
          <w:spacing w:val="-7"/>
        </w:rPr>
        <w:t>、</w:t>
      </w:r>
      <w:r>
        <w:rPr/>
        <w:t>中期考核等三个培养环节按本办法执行。</w:t>
      </w:r>
    </w:p>
    <w:p>
      <w:pPr>
        <w:pStyle w:val="BodyText"/>
        <w:tabs>
          <w:tab w:pos="1279" w:val="left" w:leader="none"/>
        </w:tabs>
        <w:spacing w:before="223"/>
        <w:ind w:right="157"/>
        <w:jc w:val="center"/>
        <w:rPr>
          <w:rFonts w:ascii="黑体" w:eastAsia="黑体" w:hint="eastAsia"/>
        </w:rPr>
      </w:pPr>
      <w:r>
        <w:rPr>
          <w:rFonts w:ascii="黑体" w:eastAsia="黑体" w:hint="eastAsia"/>
        </w:rPr>
        <w:t>第二章</w:t>
        <w:tab/>
        <w:t>博士研究生资格考试</w:t>
      </w:r>
    </w:p>
    <w:p>
      <w:pPr>
        <w:pStyle w:val="BodyText"/>
        <w:spacing w:before="11"/>
        <w:rPr>
          <w:rFonts w:ascii="黑体"/>
          <w:sz w:val="28"/>
        </w:rPr>
      </w:pPr>
    </w:p>
    <w:p>
      <w:pPr>
        <w:pStyle w:val="BodyText"/>
        <w:spacing w:line="316" w:lineRule="auto" w:before="1"/>
        <w:ind w:left="104" w:right="240" w:firstLine="640"/>
        <w:jc w:val="both"/>
      </w:pPr>
      <w:r>
        <w:rPr/>
        <w:t>第三条 考试目的。考核博士研究生（以下简称博士生） 的政治思想素质、掌握本学科及相关学科基础理论和专门知识的情况、综合运用所学理论知识分析和解决问题以及进行创新</w:t>
      </w:r>
    </w:p>
    <w:p>
      <w:pPr>
        <w:spacing w:after="0" w:line="316" w:lineRule="auto"/>
        <w:jc w:val="both"/>
        <w:sectPr>
          <w:pgSz w:w="11910" w:h="16840"/>
          <w:pgMar w:header="0" w:footer="1274" w:top="1580" w:bottom="1460" w:left="1540" w:right="1380"/>
        </w:sectPr>
      </w:pPr>
    </w:p>
    <w:p>
      <w:pPr>
        <w:pStyle w:val="BodyText"/>
        <w:spacing w:before="11"/>
        <w:rPr>
          <w:sz w:val="8"/>
        </w:rPr>
      </w:pPr>
    </w:p>
    <w:p>
      <w:pPr>
        <w:pStyle w:val="BodyText"/>
        <w:spacing w:before="55"/>
        <w:ind w:left="104"/>
      </w:pPr>
      <w:r>
        <w:rPr/>
        <w:t>性科学研究工作的能力。</w:t>
      </w:r>
    </w:p>
    <w:p>
      <w:pPr>
        <w:pStyle w:val="BodyText"/>
        <w:spacing w:before="130"/>
        <w:ind w:left="744"/>
        <w:jc w:val="both"/>
      </w:pPr>
      <w:r>
        <w:rPr/>
        <w:t>第四条 考试内容、方式与成绩评定。</w:t>
      </w:r>
    </w:p>
    <w:p>
      <w:pPr>
        <w:pStyle w:val="ListParagraph"/>
        <w:numPr>
          <w:ilvl w:val="0"/>
          <w:numId w:val="1"/>
        </w:numPr>
        <w:tabs>
          <w:tab w:pos="987" w:val="left" w:leader="none"/>
        </w:tabs>
        <w:spacing w:line="316" w:lineRule="auto" w:before="130" w:after="0"/>
        <w:ind w:left="104" w:right="261" w:firstLine="640"/>
        <w:jc w:val="both"/>
        <w:rPr>
          <w:sz w:val="32"/>
        </w:rPr>
      </w:pPr>
      <w:r>
        <w:rPr>
          <w:sz w:val="32"/>
        </w:rPr>
        <w:t>考试内容应有一定的广度、深度和难度，重点考核博士</w:t>
      </w:r>
      <w:r>
        <w:rPr>
          <w:spacing w:val="-2"/>
          <w:sz w:val="32"/>
        </w:rPr>
        <w:t>生系统深入的基础理论和专门知识的掌握情况，对本学科发展动态的了解情况以及独立分析与解决问题的能力。口试内容</w:t>
      </w:r>
    </w:p>
    <w:p>
      <w:pPr>
        <w:pStyle w:val="BodyText"/>
        <w:spacing w:line="316" w:lineRule="auto"/>
        <w:ind w:left="104" w:right="213"/>
      </w:pPr>
      <w:r>
        <w:rPr/>
        <w:t>（提问或随机抽题）重点测试博士生的逻辑思维能力以及语言运用和表达能力等综合素质。</w:t>
      </w:r>
    </w:p>
    <w:p>
      <w:pPr>
        <w:pStyle w:val="ListParagraph"/>
        <w:numPr>
          <w:ilvl w:val="0"/>
          <w:numId w:val="1"/>
        </w:numPr>
        <w:tabs>
          <w:tab w:pos="987" w:val="left" w:leader="none"/>
        </w:tabs>
        <w:spacing w:line="316" w:lineRule="auto" w:before="0" w:after="0"/>
        <w:ind w:left="104" w:right="264" w:firstLine="640"/>
        <w:jc w:val="both"/>
        <w:rPr>
          <w:sz w:val="32"/>
        </w:rPr>
      </w:pPr>
      <w:r>
        <w:rPr>
          <w:sz w:val="32"/>
        </w:rPr>
        <w:t>采用笔试（闭卷或开卷）或口试，或笔试与口试相结合</w:t>
      </w:r>
      <w:r>
        <w:rPr>
          <w:spacing w:val="-5"/>
          <w:sz w:val="32"/>
        </w:rPr>
        <w:t>的方式进行。根据学科特点，可增加实际操作技能的考核，如</w:t>
      </w:r>
      <w:r>
        <w:rPr>
          <w:sz w:val="32"/>
        </w:rPr>
        <w:t>临床医学专业学位博士生的临床技能考核等。</w:t>
      </w:r>
    </w:p>
    <w:p>
      <w:pPr>
        <w:pStyle w:val="ListParagraph"/>
        <w:numPr>
          <w:ilvl w:val="0"/>
          <w:numId w:val="1"/>
        </w:numPr>
        <w:tabs>
          <w:tab w:pos="987" w:val="left" w:leader="none"/>
        </w:tabs>
        <w:spacing w:line="316" w:lineRule="auto" w:before="0" w:after="0"/>
        <w:ind w:left="104" w:right="264" w:firstLine="640"/>
        <w:jc w:val="left"/>
        <w:rPr>
          <w:sz w:val="32"/>
        </w:rPr>
      </w:pPr>
      <w:r>
        <w:rPr>
          <w:w w:val="95"/>
          <w:sz w:val="32"/>
        </w:rPr>
        <w:t>博士研究生资格考试的成绩采用</w:t>
      </w:r>
      <w:r>
        <w:rPr>
          <w:rFonts w:ascii="Times New Roman" w:eastAsia="Times New Roman"/>
          <w:spacing w:val="-27"/>
          <w:w w:val="95"/>
          <w:sz w:val="32"/>
        </w:rPr>
        <w:t>A</w:t>
      </w:r>
      <w:r>
        <w:rPr>
          <w:spacing w:val="-27"/>
          <w:w w:val="95"/>
          <w:sz w:val="32"/>
        </w:rPr>
        <w:t>（</w:t>
      </w:r>
      <w:r>
        <w:rPr>
          <w:w w:val="95"/>
          <w:sz w:val="32"/>
        </w:rPr>
        <w:t>优</w:t>
      </w:r>
      <w:r>
        <w:rPr>
          <w:spacing w:val="-159"/>
          <w:w w:val="95"/>
          <w:sz w:val="32"/>
        </w:rPr>
        <w:t>）</w:t>
      </w:r>
      <w:r>
        <w:rPr>
          <w:spacing w:val="-55"/>
          <w:w w:val="95"/>
          <w:sz w:val="32"/>
        </w:rPr>
        <w:t>、</w:t>
      </w:r>
      <w:r>
        <w:rPr>
          <w:rFonts w:ascii="Times New Roman" w:eastAsia="Times New Roman"/>
          <w:spacing w:val="-29"/>
          <w:w w:val="95"/>
          <w:sz w:val="32"/>
        </w:rPr>
        <w:t>B</w:t>
      </w:r>
      <w:r>
        <w:rPr>
          <w:spacing w:val="-29"/>
          <w:w w:val="95"/>
          <w:sz w:val="32"/>
        </w:rPr>
        <w:t>（</w:t>
      </w:r>
      <w:r>
        <w:rPr>
          <w:w w:val="95"/>
          <w:sz w:val="32"/>
        </w:rPr>
        <w:t>良</w:t>
      </w:r>
      <w:r>
        <w:rPr>
          <w:spacing w:val="-161"/>
          <w:w w:val="95"/>
          <w:sz w:val="32"/>
        </w:rPr>
        <w:t>）</w:t>
      </w:r>
      <w:r>
        <w:rPr>
          <w:spacing w:val="-55"/>
          <w:w w:val="95"/>
          <w:sz w:val="32"/>
        </w:rPr>
        <w:t>、</w:t>
      </w:r>
      <w:r>
        <w:rPr>
          <w:rFonts w:ascii="Times New Roman" w:eastAsia="Times New Roman"/>
          <w:spacing w:val="-28"/>
          <w:w w:val="95"/>
          <w:sz w:val="32"/>
        </w:rPr>
        <w:t>C</w:t>
      </w:r>
      <w:r>
        <w:rPr>
          <w:spacing w:val="-28"/>
          <w:w w:val="95"/>
          <w:sz w:val="32"/>
        </w:rPr>
        <w:t>（</w:t>
      </w:r>
      <w:r>
        <w:rPr>
          <w:w w:val="95"/>
          <w:sz w:val="32"/>
        </w:rPr>
        <w:t>合 </w:t>
      </w:r>
      <w:r>
        <w:rPr>
          <w:sz w:val="32"/>
        </w:rPr>
        <w:t>格</w:t>
      </w:r>
      <w:r>
        <w:rPr>
          <w:spacing w:val="-159"/>
          <w:sz w:val="32"/>
        </w:rPr>
        <w:t>）</w:t>
      </w:r>
      <w:r>
        <w:rPr>
          <w:sz w:val="32"/>
        </w:rPr>
        <w:t>、</w:t>
      </w:r>
      <w:r>
        <w:rPr>
          <w:rFonts w:ascii="Times New Roman" w:eastAsia="Times New Roman"/>
          <w:sz w:val="32"/>
        </w:rPr>
        <w:t>D</w:t>
      </w:r>
      <w:r>
        <w:rPr>
          <w:sz w:val="32"/>
        </w:rPr>
        <w:t>（不合格）等级制。</w:t>
      </w:r>
    </w:p>
    <w:p>
      <w:pPr>
        <w:pStyle w:val="BodyText"/>
        <w:spacing w:line="408" w:lineRule="exact"/>
        <w:ind w:left="744"/>
      </w:pPr>
      <w:r>
        <w:rPr/>
        <w:t>第五条 考试要求与时间。</w:t>
      </w:r>
    </w:p>
    <w:p>
      <w:pPr>
        <w:pStyle w:val="ListParagraph"/>
        <w:numPr>
          <w:ilvl w:val="0"/>
          <w:numId w:val="2"/>
        </w:numPr>
        <w:tabs>
          <w:tab w:pos="987" w:val="left" w:leader="none"/>
        </w:tabs>
        <w:spacing w:line="316" w:lineRule="auto" w:before="120" w:after="0"/>
        <w:ind w:left="104" w:right="264" w:firstLine="640"/>
        <w:jc w:val="both"/>
        <w:rPr>
          <w:sz w:val="32"/>
        </w:rPr>
      </w:pPr>
      <w:r>
        <w:rPr>
          <w:sz w:val="32"/>
        </w:rPr>
        <w:t>博士生在完成相应学科培养方案设置的应修全部课程学</w:t>
      </w:r>
      <w:r>
        <w:rPr>
          <w:spacing w:val="-2"/>
          <w:w w:val="95"/>
          <w:sz w:val="32"/>
        </w:rPr>
        <w:t>分后参加博士研究生资格考试，未完成应修课程学分者不能参 </w:t>
      </w:r>
      <w:r>
        <w:rPr>
          <w:spacing w:val="-2"/>
          <w:sz w:val="32"/>
        </w:rPr>
        <w:t>加考试。</w:t>
      </w:r>
    </w:p>
    <w:p>
      <w:pPr>
        <w:pStyle w:val="ListParagraph"/>
        <w:numPr>
          <w:ilvl w:val="0"/>
          <w:numId w:val="2"/>
        </w:numPr>
        <w:tabs>
          <w:tab w:pos="1000" w:val="left" w:leader="none"/>
        </w:tabs>
        <w:spacing w:line="406" w:lineRule="exact" w:before="0" w:after="0"/>
        <w:ind w:left="999" w:right="0" w:hanging="256"/>
        <w:jc w:val="left"/>
        <w:rPr>
          <w:sz w:val="32"/>
        </w:rPr>
      </w:pPr>
      <w:r>
        <w:rPr>
          <w:spacing w:val="15"/>
          <w:sz w:val="32"/>
        </w:rPr>
        <w:t>博士研究生资格考试统一安排在每年的</w:t>
      </w:r>
      <w:r>
        <w:rPr>
          <w:rFonts w:ascii="Times New Roman" w:eastAsia="Times New Roman"/>
          <w:spacing w:val="18"/>
          <w:sz w:val="32"/>
        </w:rPr>
        <w:t>3</w:t>
      </w:r>
      <w:r>
        <w:rPr>
          <w:spacing w:val="16"/>
          <w:sz w:val="32"/>
        </w:rPr>
        <w:t>月份和</w:t>
      </w:r>
      <w:r>
        <w:rPr>
          <w:rFonts w:ascii="Times New Roman" w:eastAsia="Times New Roman"/>
          <w:spacing w:val="15"/>
          <w:sz w:val="32"/>
        </w:rPr>
        <w:t>9</w:t>
      </w:r>
      <w:r>
        <w:rPr>
          <w:spacing w:val="8"/>
          <w:sz w:val="32"/>
        </w:rPr>
        <w:t>月份</w:t>
      </w:r>
    </w:p>
    <w:p>
      <w:pPr>
        <w:pStyle w:val="BodyText"/>
        <w:spacing w:line="316" w:lineRule="auto" w:before="130"/>
        <w:ind w:left="104" w:right="261"/>
        <w:jc w:val="both"/>
      </w:pPr>
      <w:r>
        <w:rPr/>
        <w:t>（</w:t>
      </w:r>
      <w:r>
        <w:rPr>
          <w:spacing w:val="-2"/>
        </w:rPr>
        <w:t>非直博生入学后的第二或第三学期、直博生入学后的第四或</w:t>
      </w:r>
      <w:r>
        <w:rPr>
          <w:spacing w:val="-2"/>
          <w:w w:val="95"/>
        </w:rPr>
        <w:t>第五学期</w:t>
      </w:r>
      <w:r>
        <w:rPr>
          <w:spacing w:val="-5"/>
          <w:w w:val="95"/>
        </w:rPr>
        <w:t>）</w:t>
      </w:r>
      <w:r>
        <w:rPr>
          <w:spacing w:val="-4"/>
          <w:w w:val="95"/>
        </w:rPr>
        <w:t>进行，具体时间由各二级培养单位自定。笔试考试 </w:t>
      </w:r>
      <w:r>
        <w:rPr>
          <w:spacing w:val="5"/>
          <w:w w:val="95"/>
        </w:rPr>
        <w:t>时间不少于</w:t>
      </w:r>
      <w:r>
        <w:rPr>
          <w:rFonts w:ascii="Times New Roman" w:eastAsia="Times New Roman"/>
          <w:spacing w:val="6"/>
          <w:w w:val="95"/>
        </w:rPr>
        <w:t>2</w:t>
      </w:r>
      <w:r>
        <w:rPr>
          <w:spacing w:val="5"/>
          <w:w w:val="95"/>
        </w:rPr>
        <w:t>小时，单独口试考试时间每人不少于</w:t>
      </w:r>
      <w:r>
        <w:rPr>
          <w:rFonts w:ascii="Times New Roman" w:eastAsia="Times New Roman"/>
          <w:spacing w:val="3"/>
          <w:w w:val="95"/>
        </w:rPr>
        <w:t>30</w:t>
      </w:r>
      <w:r>
        <w:rPr>
          <w:spacing w:val="1"/>
          <w:w w:val="95"/>
        </w:rPr>
        <w:t>分钟。各 </w:t>
      </w:r>
      <w:r>
        <w:rPr/>
        <w:t>二级单位在</w:t>
      </w:r>
      <w:r>
        <w:rPr>
          <w:rFonts w:ascii="Times New Roman" w:eastAsia="Times New Roman"/>
        </w:rPr>
        <w:t>1</w:t>
      </w:r>
      <w:r>
        <w:rPr/>
        <w:t>月份和</w:t>
      </w:r>
      <w:r>
        <w:rPr>
          <w:rFonts w:ascii="Times New Roman" w:eastAsia="Times New Roman"/>
        </w:rPr>
        <w:t>7</w:t>
      </w:r>
      <w:r>
        <w:rPr/>
        <w:t>月份发布考试通知。</w:t>
      </w:r>
    </w:p>
    <w:p>
      <w:pPr>
        <w:pStyle w:val="ListParagraph"/>
        <w:numPr>
          <w:ilvl w:val="0"/>
          <w:numId w:val="2"/>
        </w:numPr>
        <w:tabs>
          <w:tab w:pos="987" w:val="left" w:leader="none"/>
        </w:tabs>
        <w:spacing w:line="316" w:lineRule="auto" w:before="0" w:after="0"/>
        <w:ind w:left="104" w:right="261" w:firstLine="640"/>
        <w:jc w:val="both"/>
        <w:rPr>
          <w:sz w:val="32"/>
        </w:rPr>
      </w:pPr>
      <w:r>
        <w:rPr>
          <w:sz w:val="32"/>
        </w:rPr>
        <w:t>因在国外或境外访问学习的研究生，可由本人写出书面</w:t>
      </w:r>
      <w:r>
        <w:rPr>
          <w:spacing w:val="-5"/>
          <w:sz w:val="32"/>
        </w:rPr>
        <w:t>申请，导师签署意见，并经所在二级单位审核同意后，可在国</w:t>
      </w:r>
      <w:r>
        <w:rPr>
          <w:spacing w:val="-7"/>
          <w:sz w:val="32"/>
        </w:rPr>
        <w:t>外或境外按期进行远程资格考试，或委托博士生国外或境外学习访问单位组织资格考试。</w:t>
      </w:r>
    </w:p>
    <w:p>
      <w:pPr>
        <w:spacing w:after="0" w:line="316" w:lineRule="auto"/>
        <w:jc w:val="both"/>
        <w:rPr>
          <w:sz w:val="32"/>
        </w:rPr>
        <w:sectPr>
          <w:pgSz w:w="11910" w:h="16840"/>
          <w:pgMar w:header="0" w:footer="1274" w:top="1580" w:bottom="1460" w:left="1540" w:right="1380"/>
        </w:sectPr>
      </w:pPr>
    </w:p>
    <w:p>
      <w:pPr>
        <w:pStyle w:val="BodyText"/>
        <w:spacing w:before="1"/>
        <w:rPr>
          <w:sz w:val="8"/>
        </w:rPr>
      </w:pPr>
    </w:p>
    <w:p>
      <w:pPr>
        <w:pStyle w:val="ListParagraph"/>
        <w:numPr>
          <w:ilvl w:val="0"/>
          <w:numId w:val="2"/>
        </w:numPr>
        <w:tabs>
          <w:tab w:pos="987" w:val="left" w:leader="none"/>
        </w:tabs>
        <w:spacing w:line="316" w:lineRule="auto" w:before="65" w:after="0"/>
        <w:ind w:left="104" w:right="264" w:firstLine="640"/>
        <w:jc w:val="both"/>
        <w:rPr>
          <w:sz w:val="32"/>
        </w:rPr>
      </w:pPr>
      <w:r>
        <w:rPr>
          <w:sz w:val="32"/>
        </w:rPr>
        <w:t>博士生因休学等原因不能如期参加当年博士研究生资格</w:t>
      </w:r>
      <w:r>
        <w:rPr>
          <w:spacing w:val="-4"/>
          <w:w w:val="95"/>
          <w:sz w:val="32"/>
        </w:rPr>
        <w:t>考试的，由本人提出书面申请，经二级单位审批同意后方可延 </w:t>
      </w:r>
      <w:r>
        <w:rPr>
          <w:spacing w:val="-4"/>
          <w:sz w:val="32"/>
        </w:rPr>
        <w:t>期。</w:t>
      </w:r>
    </w:p>
    <w:p>
      <w:pPr>
        <w:pStyle w:val="ListParagraph"/>
        <w:numPr>
          <w:ilvl w:val="0"/>
          <w:numId w:val="2"/>
        </w:numPr>
        <w:tabs>
          <w:tab w:pos="987" w:val="left" w:leader="none"/>
        </w:tabs>
        <w:spacing w:line="316" w:lineRule="auto" w:before="0" w:after="0"/>
        <w:ind w:left="104" w:right="264" w:firstLine="640"/>
        <w:jc w:val="both"/>
        <w:rPr>
          <w:sz w:val="32"/>
        </w:rPr>
      </w:pPr>
      <w:r>
        <w:rPr>
          <w:sz w:val="32"/>
        </w:rPr>
        <w:t>第一次参加博士研究生资格考试未通过者或因各种原因</w:t>
      </w:r>
      <w:r>
        <w:rPr>
          <w:spacing w:val="-3"/>
          <w:w w:val="95"/>
          <w:sz w:val="32"/>
        </w:rPr>
        <w:t>延期考试者，均须参加下一次考试。博士生不得无故延期参加 </w:t>
      </w:r>
      <w:r>
        <w:rPr>
          <w:spacing w:val="-3"/>
          <w:sz w:val="32"/>
        </w:rPr>
        <w:t>博士研究生资格考试，无故未考试者的成绩计不合格。</w:t>
      </w:r>
    </w:p>
    <w:p>
      <w:pPr>
        <w:pStyle w:val="BodyText"/>
        <w:spacing w:line="406" w:lineRule="exact"/>
        <w:ind w:left="744"/>
        <w:jc w:val="both"/>
      </w:pPr>
      <w:r>
        <w:rPr/>
        <w:t>第六条 考试组织。</w:t>
      </w:r>
    </w:p>
    <w:p>
      <w:pPr>
        <w:pStyle w:val="ListParagraph"/>
        <w:numPr>
          <w:ilvl w:val="0"/>
          <w:numId w:val="3"/>
        </w:numPr>
        <w:tabs>
          <w:tab w:pos="987" w:val="left" w:leader="none"/>
        </w:tabs>
        <w:spacing w:line="316" w:lineRule="auto" w:before="126" w:after="0"/>
        <w:ind w:left="104" w:right="262" w:firstLine="640"/>
        <w:jc w:val="both"/>
        <w:rPr>
          <w:sz w:val="32"/>
        </w:rPr>
      </w:pPr>
      <w:r>
        <w:rPr>
          <w:sz w:val="32"/>
        </w:rPr>
        <w:t>博士研究生资格考试由各二级培养单位统一组织，成立</w:t>
      </w:r>
      <w:r>
        <w:rPr>
          <w:spacing w:val="11"/>
          <w:w w:val="95"/>
          <w:sz w:val="32"/>
        </w:rPr>
        <w:t>博士研究生资格考试领导小组和博士研究生资格考试专家委 </w:t>
      </w:r>
      <w:r>
        <w:rPr>
          <w:sz w:val="32"/>
        </w:rPr>
        <w:t>员会。</w:t>
      </w:r>
    </w:p>
    <w:p>
      <w:pPr>
        <w:pStyle w:val="ListParagraph"/>
        <w:numPr>
          <w:ilvl w:val="0"/>
          <w:numId w:val="3"/>
        </w:numPr>
        <w:tabs>
          <w:tab w:pos="987" w:val="left" w:leader="none"/>
        </w:tabs>
        <w:spacing w:line="316" w:lineRule="auto" w:before="0" w:after="0"/>
        <w:ind w:left="104" w:right="261" w:firstLine="640"/>
        <w:jc w:val="both"/>
        <w:rPr>
          <w:sz w:val="32"/>
        </w:rPr>
      </w:pPr>
      <w:r>
        <w:rPr>
          <w:sz w:val="32"/>
        </w:rPr>
        <w:t>博士研究生资格考试领导小组由二级单位主管研究生工</w:t>
      </w:r>
      <w:r>
        <w:rPr>
          <w:spacing w:val="-1"/>
          <w:sz w:val="32"/>
        </w:rPr>
        <w:t>作的负责人和学位与研究生教育专业方向负责人组成，主管研</w:t>
      </w:r>
      <w:r>
        <w:rPr>
          <w:spacing w:val="-3"/>
          <w:sz w:val="32"/>
        </w:rPr>
        <w:t>究生工作的负责人任组长，学位与研究生教育专业方向负责人任成员。领导小组职责：</w:t>
      </w:r>
    </w:p>
    <w:p>
      <w:pPr>
        <w:pStyle w:val="ListParagraph"/>
        <w:numPr>
          <w:ilvl w:val="0"/>
          <w:numId w:val="4"/>
        </w:numPr>
        <w:tabs>
          <w:tab w:pos="1561" w:val="left" w:leader="none"/>
        </w:tabs>
        <w:spacing w:line="316" w:lineRule="auto" w:before="0" w:after="0"/>
        <w:ind w:left="104" w:right="261" w:firstLine="640"/>
        <w:jc w:val="both"/>
        <w:rPr>
          <w:sz w:val="32"/>
        </w:rPr>
      </w:pPr>
      <w:r>
        <w:rPr>
          <w:spacing w:val="4"/>
          <w:w w:val="95"/>
          <w:sz w:val="32"/>
        </w:rPr>
        <w:t>按照相关一级学科博士生的培养目标，研究博士研 </w:t>
      </w:r>
      <w:r>
        <w:rPr>
          <w:spacing w:val="-2"/>
          <w:w w:val="95"/>
          <w:sz w:val="32"/>
        </w:rPr>
        <w:t>究生资格考试组织工作，确定命题教师、考试范围、考试方式 </w:t>
      </w:r>
      <w:r>
        <w:rPr>
          <w:spacing w:val="-2"/>
          <w:sz w:val="32"/>
        </w:rPr>
        <w:t>等；</w:t>
      </w:r>
    </w:p>
    <w:p>
      <w:pPr>
        <w:pStyle w:val="ListParagraph"/>
        <w:numPr>
          <w:ilvl w:val="0"/>
          <w:numId w:val="4"/>
        </w:numPr>
        <w:tabs>
          <w:tab w:pos="1545" w:val="left" w:leader="none"/>
        </w:tabs>
        <w:spacing w:line="398" w:lineRule="exact" w:before="0" w:after="0"/>
        <w:ind w:left="1544" w:right="0" w:hanging="801"/>
        <w:jc w:val="left"/>
        <w:rPr>
          <w:sz w:val="32"/>
        </w:rPr>
      </w:pPr>
      <w:r>
        <w:rPr>
          <w:sz w:val="32"/>
        </w:rPr>
        <w:t>审核笔试（口试）试题；</w:t>
      </w:r>
    </w:p>
    <w:p>
      <w:pPr>
        <w:pStyle w:val="ListParagraph"/>
        <w:numPr>
          <w:ilvl w:val="0"/>
          <w:numId w:val="4"/>
        </w:numPr>
        <w:tabs>
          <w:tab w:pos="1545" w:val="left" w:leader="none"/>
        </w:tabs>
        <w:spacing w:line="240" w:lineRule="auto" w:before="130" w:after="0"/>
        <w:ind w:left="1544" w:right="0" w:hanging="801"/>
        <w:jc w:val="left"/>
        <w:rPr>
          <w:sz w:val="32"/>
        </w:rPr>
      </w:pPr>
      <w:r>
        <w:rPr>
          <w:sz w:val="32"/>
        </w:rPr>
        <w:t>审核考试结论。</w:t>
      </w:r>
    </w:p>
    <w:p>
      <w:pPr>
        <w:pStyle w:val="ListParagraph"/>
        <w:numPr>
          <w:ilvl w:val="0"/>
          <w:numId w:val="3"/>
        </w:numPr>
        <w:tabs>
          <w:tab w:pos="987" w:val="left" w:leader="none"/>
        </w:tabs>
        <w:spacing w:line="316" w:lineRule="auto" w:before="130" w:after="0"/>
        <w:ind w:left="104" w:right="259" w:firstLine="640"/>
        <w:jc w:val="both"/>
        <w:rPr>
          <w:sz w:val="32"/>
        </w:rPr>
      </w:pPr>
      <w:r>
        <w:rPr>
          <w:sz w:val="32"/>
        </w:rPr>
        <w:t>博士研究生资格考试专家委员会由博士研究生导师为主</w:t>
      </w:r>
      <w:r>
        <w:rPr>
          <w:spacing w:val="-6"/>
          <w:w w:val="95"/>
          <w:sz w:val="32"/>
        </w:rPr>
        <w:t>的专家组成，设主任</w:t>
      </w:r>
      <w:r>
        <w:rPr>
          <w:rFonts w:ascii="Times New Roman" w:eastAsia="Times New Roman"/>
          <w:w w:val="95"/>
          <w:sz w:val="32"/>
        </w:rPr>
        <w:t>1</w:t>
      </w:r>
      <w:r>
        <w:rPr>
          <w:spacing w:val="-9"/>
          <w:w w:val="95"/>
          <w:sz w:val="32"/>
        </w:rPr>
        <w:t>人，成员</w:t>
      </w:r>
      <w:r>
        <w:rPr>
          <w:rFonts w:ascii="Times New Roman" w:eastAsia="Times New Roman"/>
          <w:w w:val="95"/>
          <w:sz w:val="32"/>
        </w:rPr>
        <w:t>3-5</w:t>
      </w:r>
      <w:r>
        <w:rPr>
          <w:spacing w:val="-9"/>
          <w:w w:val="95"/>
          <w:sz w:val="32"/>
        </w:rPr>
        <w:t>人，秘书</w:t>
      </w:r>
      <w:r>
        <w:rPr>
          <w:rFonts w:ascii="Times New Roman" w:eastAsia="Times New Roman"/>
          <w:w w:val="95"/>
          <w:sz w:val="32"/>
        </w:rPr>
        <w:t>1</w:t>
      </w:r>
      <w:r>
        <w:rPr>
          <w:spacing w:val="-31"/>
          <w:w w:val="95"/>
          <w:sz w:val="32"/>
        </w:rPr>
        <w:t>人</w:t>
      </w:r>
      <w:r>
        <w:rPr>
          <w:w w:val="95"/>
          <w:sz w:val="32"/>
        </w:rPr>
        <w:t>（具有相关学科 </w:t>
      </w:r>
      <w:r>
        <w:rPr>
          <w:sz w:val="32"/>
        </w:rPr>
        <w:t>讲师职称以上</w:t>
      </w:r>
      <w:r>
        <w:rPr>
          <w:spacing w:val="-159"/>
          <w:sz w:val="32"/>
        </w:rPr>
        <w:t>）</w:t>
      </w:r>
      <w:r>
        <w:rPr>
          <w:spacing w:val="-4"/>
          <w:sz w:val="32"/>
        </w:rPr>
        <w:t>。博士生的专业属于交叉学科的，至少须有</w:t>
      </w:r>
      <w:r>
        <w:rPr>
          <w:rFonts w:ascii="Times New Roman" w:eastAsia="Times New Roman"/>
          <w:sz w:val="32"/>
        </w:rPr>
        <w:t>1</w:t>
      </w:r>
      <w:r>
        <w:rPr>
          <w:sz w:val="32"/>
        </w:rPr>
        <w:t>名相关一级学科的专家参加。专家委员会职责：</w:t>
      </w:r>
    </w:p>
    <w:p>
      <w:pPr>
        <w:pStyle w:val="BodyText"/>
        <w:spacing w:line="316" w:lineRule="auto"/>
        <w:ind w:left="104" w:right="262" w:firstLine="640"/>
      </w:pPr>
      <w:r>
        <w:rPr>
          <w:spacing w:val="6"/>
          <w:w w:val="95"/>
        </w:rPr>
        <w:t>（</w:t>
      </w:r>
      <w:r>
        <w:rPr>
          <w:rFonts w:ascii="Times New Roman" w:eastAsia="Times New Roman"/>
          <w:spacing w:val="6"/>
          <w:w w:val="95"/>
        </w:rPr>
        <w:t>1</w:t>
      </w:r>
      <w:r>
        <w:rPr>
          <w:spacing w:val="6"/>
          <w:w w:val="95"/>
        </w:rPr>
        <w:t>）</w:t>
      </w:r>
      <w:r>
        <w:rPr>
          <w:spacing w:val="4"/>
          <w:w w:val="95"/>
        </w:rPr>
        <w:t>拟定考试题目及评分标准。拟定试题经博士研究生 </w:t>
      </w:r>
      <w:r>
        <w:rPr>
          <w:spacing w:val="11"/>
          <w:w w:val="95"/>
        </w:rPr>
        <w:t>资格考试领导小组组长审核后一并签名密封交二级培养单位</w:t>
      </w:r>
    </w:p>
    <w:p>
      <w:pPr>
        <w:spacing w:after="0" w:line="316" w:lineRule="auto"/>
        <w:sectPr>
          <w:pgSz w:w="11910" w:h="16840"/>
          <w:pgMar w:header="0" w:footer="1274" w:top="1580" w:bottom="1460" w:left="1540" w:right="1380"/>
        </w:sectPr>
      </w:pPr>
    </w:p>
    <w:p>
      <w:pPr>
        <w:pStyle w:val="BodyText"/>
        <w:spacing w:before="11"/>
        <w:rPr>
          <w:sz w:val="8"/>
        </w:rPr>
      </w:pPr>
    </w:p>
    <w:p>
      <w:pPr>
        <w:pStyle w:val="BodyText"/>
        <w:spacing w:line="316" w:lineRule="auto" w:before="55"/>
        <w:ind w:left="104" w:right="193"/>
      </w:pPr>
      <w:r>
        <w:rPr>
          <w:w w:val="95"/>
        </w:rPr>
        <w:t>保管。各有关人员须严格遵守保密制度，如有违者，按《中南 </w:t>
      </w:r>
      <w:r>
        <w:rPr/>
        <w:t>大学研究生教学事故认定与处理办法》相关条款处理；</w:t>
      </w:r>
    </w:p>
    <w:p>
      <w:pPr>
        <w:pStyle w:val="ListParagraph"/>
        <w:numPr>
          <w:ilvl w:val="0"/>
          <w:numId w:val="5"/>
        </w:numPr>
        <w:tabs>
          <w:tab w:pos="1384" w:val="left" w:leader="none"/>
        </w:tabs>
        <w:spacing w:line="408" w:lineRule="exact" w:before="0" w:after="0"/>
        <w:ind w:left="1384" w:right="0" w:hanging="800"/>
        <w:jc w:val="left"/>
        <w:rPr>
          <w:sz w:val="32"/>
        </w:rPr>
      </w:pPr>
      <w:r>
        <w:rPr>
          <w:sz w:val="32"/>
        </w:rPr>
        <w:t>客观公正地评定考试成绩；</w:t>
      </w:r>
    </w:p>
    <w:p>
      <w:pPr>
        <w:pStyle w:val="ListParagraph"/>
        <w:numPr>
          <w:ilvl w:val="0"/>
          <w:numId w:val="5"/>
        </w:numPr>
        <w:tabs>
          <w:tab w:pos="1384" w:val="left" w:leader="none"/>
          <w:tab w:pos="2023" w:val="left" w:leader="none"/>
        </w:tabs>
        <w:spacing w:line="316" w:lineRule="auto" w:before="130" w:after="0"/>
        <w:ind w:left="744" w:right="1523" w:hanging="161"/>
        <w:jc w:val="left"/>
        <w:rPr>
          <w:sz w:val="32"/>
        </w:rPr>
      </w:pPr>
      <w:r>
        <w:rPr>
          <w:sz w:val="32"/>
        </w:rPr>
        <w:t>专家委员会秘书实事求是地做好详细记录</w:t>
      </w:r>
      <w:r>
        <w:rPr>
          <w:spacing w:val="-12"/>
          <w:sz w:val="32"/>
        </w:rPr>
        <w:t>。</w:t>
      </w:r>
      <w:r>
        <w:rPr>
          <w:sz w:val="32"/>
        </w:rPr>
        <w:t>第七条</w:t>
        <w:tab/>
        <w:t>考试成绩归档。</w:t>
      </w:r>
    </w:p>
    <w:p>
      <w:pPr>
        <w:pStyle w:val="ListParagraph"/>
        <w:numPr>
          <w:ilvl w:val="1"/>
          <w:numId w:val="5"/>
        </w:numPr>
        <w:tabs>
          <w:tab w:pos="987" w:val="left" w:leader="none"/>
        </w:tabs>
        <w:spacing w:line="316" w:lineRule="auto" w:before="0" w:after="0"/>
        <w:ind w:left="104" w:right="262" w:firstLine="640"/>
        <w:jc w:val="both"/>
        <w:rPr>
          <w:sz w:val="32"/>
        </w:rPr>
      </w:pPr>
      <w:r>
        <w:rPr>
          <w:sz w:val="32"/>
        </w:rPr>
        <w:t>《中南大学博士研究生资格考试情况表》原件、试题、</w:t>
      </w:r>
      <w:r>
        <w:rPr>
          <w:spacing w:val="11"/>
          <w:w w:val="95"/>
          <w:sz w:val="32"/>
        </w:rPr>
        <w:t>笔试答卷、委员会讨论记录等材料由二级研究生培养单位存 </w:t>
      </w:r>
      <w:r>
        <w:rPr>
          <w:sz w:val="32"/>
        </w:rPr>
        <w:t>档。</w:t>
      </w:r>
    </w:p>
    <w:p>
      <w:pPr>
        <w:pStyle w:val="ListParagraph"/>
        <w:numPr>
          <w:ilvl w:val="1"/>
          <w:numId w:val="5"/>
        </w:numPr>
        <w:tabs>
          <w:tab w:pos="987" w:val="left" w:leader="none"/>
        </w:tabs>
        <w:spacing w:line="316" w:lineRule="auto" w:before="0" w:after="0"/>
        <w:ind w:left="104" w:right="261" w:firstLine="640"/>
        <w:jc w:val="left"/>
        <w:rPr>
          <w:sz w:val="32"/>
        </w:rPr>
      </w:pPr>
      <w:r>
        <w:rPr>
          <w:spacing w:val="-9"/>
          <w:w w:val="95"/>
          <w:sz w:val="32"/>
        </w:rPr>
        <w:t>考试结束后两周内，二级培养单位及时在</w:t>
      </w:r>
      <w:r>
        <w:rPr>
          <w:rFonts w:ascii="Times New Roman" w:hAnsi="Times New Roman" w:eastAsia="Times New Roman"/>
          <w:w w:val="95"/>
          <w:sz w:val="32"/>
        </w:rPr>
        <w:t>“</w:t>
      </w:r>
      <w:r>
        <w:rPr>
          <w:w w:val="95"/>
          <w:sz w:val="32"/>
        </w:rPr>
        <w:t>研究生教育管 </w:t>
      </w:r>
      <w:r>
        <w:rPr>
          <w:sz w:val="32"/>
        </w:rPr>
        <w:t>理信息系统</w:t>
      </w:r>
      <w:r>
        <w:rPr>
          <w:rFonts w:ascii="Times New Roman" w:hAnsi="Times New Roman" w:eastAsia="Times New Roman"/>
          <w:sz w:val="32"/>
        </w:rPr>
        <w:t>”</w:t>
      </w:r>
      <w:r>
        <w:rPr>
          <w:sz w:val="32"/>
        </w:rPr>
        <w:t>录入成绩。</w:t>
      </w:r>
    </w:p>
    <w:p>
      <w:pPr>
        <w:pStyle w:val="BodyText"/>
        <w:tabs>
          <w:tab w:pos="2023" w:val="left" w:leader="none"/>
        </w:tabs>
        <w:spacing w:line="408" w:lineRule="exact"/>
        <w:ind w:left="744"/>
      </w:pPr>
      <w:r>
        <w:rPr/>
        <w:t>第八条</w:t>
        <w:tab/>
        <w:t>考试不合格者处理办法。</w:t>
      </w:r>
    </w:p>
    <w:p>
      <w:pPr>
        <w:pStyle w:val="BodyText"/>
        <w:spacing w:line="316" w:lineRule="auto" w:before="124"/>
        <w:ind w:left="104" w:right="261" w:firstLine="640"/>
        <w:jc w:val="both"/>
      </w:pPr>
      <w:r>
        <w:rPr>
          <w:spacing w:val="-2"/>
        </w:rPr>
        <w:t>通过博士研究生资格考试者，继续按博士生培养。博士研</w:t>
      </w:r>
      <w:r>
        <w:rPr>
          <w:spacing w:val="-4"/>
        </w:rPr>
        <w:t>究生资格考试不合格的博士生，参加下一次博士研究生资格考</w:t>
      </w:r>
      <w:r>
        <w:rPr>
          <w:spacing w:val="6"/>
          <w:w w:val="95"/>
        </w:rPr>
        <w:t>试。</w:t>
      </w:r>
      <w:r>
        <w:rPr>
          <w:rFonts w:ascii="Times New Roman" w:eastAsia="Times New Roman"/>
          <w:spacing w:val="6"/>
          <w:w w:val="95"/>
        </w:rPr>
        <w:t>4</w:t>
      </w:r>
      <w:r>
        <w:rPr>
          <w:spacing w:val="4"/>
          <w:w w:val="95"/>
        </w:rPr>
        <w:t>年内未通过资格考试的普通博士生作退学处理，第八学 </w:t>
      </w:r>
      <w:r>
        <w:rPr>
          <w:spacing w:val="11"/>
          <w:w w:val="95"/>
        </w:rPr>
        <w:t>期前未通过资格考试的硕博连读生和直博生可转入硕士层次 </w:t>
      </w:r>
      <w:r>
        <w:rPr>
          <w:spacing w:val="11"/>
        </w:rPr>
        <w:t>继续学习或作退学处理。</w:t>
      </w:r>
    </w:p>
    <w:p>
      <w:pPr>
        <w:pStyle w:val="BodyText"/>
        <w:tabs>
          <w:tab w:pos="1281" w:val="left" w:leader="none"/>
        </w:tabs>
        <w:spacing w:before="234"/>
        <w:ind w:right="160"/>
        <w:jc w:val="center"/>
        <w:rPr>
          <w:rFonts w:ascii="黑体" w:eastAsia="黑体" w:hint="eastAsia"/>
        </w:rPr>
      </w:pPr>
      <w:r>
        <w:rPr>
          <w:rFonts w:ascii="黑体" w:eastAsia="黑体" w:hint="eastAsia"/>
        </w:rPr>
        <w:t>第三章</w:t>
        <w:tab/>
        <w:t>学位论文开题报告</w:t>
      </w:r>
    </w:p>
    <w:p>
      <w:pPr>
        <w:pStyle w:val="BodyText"/>
        <w:spacing w:before="11"/>
        <w:rPr>
          <w:rFonts w:ascii="黑体"/>
          <w:sz w:val="28"/>
        </w:rPr>
      </w:pPr>
    </w:p>
    <w:p>
      <w:pPr>
        <w:pStyle w:val="BodyText"/>
        <w:spacing w:line="316" w:lineRule="auto"/>
        <w:ind w:left="104" w:right="261" w:firstLine="640"/>
        <w:jc w:val="both"/>
      </w:pPr>
      <w:r>
        <w:rPr>
          <w:spacing w:val="-1"/>
        </w:rPr>
        <w:t>第九条 所有研究生必须进行学位论文开题报告，研究生</w:t>
      </w:r>
      <w:r>
        <w:rPr>
          <w:spacing w:val="-2"/>
          <w:w w:val="95"/>
        </w:rPr>
        <w:t>已进行部分初期</w:t>
      </w:r>
      <w:r>
        <w:rPr>
          <w:w w:val="95"/>
        </w:rPr>
        <w:t>（预备</w:t>
      </w:r>
      <w:r>
        <w:rPr>
          <w:spacing w:val="-5"/>
          <w:w w:val="95"/>
        </w:rPr>
        <w:t>）</w:t>
      </w:r>
      <w:r>
        <w:rPr>
          <w:spacing w:val="-2"/>
          <w:w w:val="95"/>
        </w:rPr>
        <w:t>研究工作之后</w:t>
      </w:r>
      <w:r>
        <w:rPr>
          <w:w w:val="95"/>
        </w:rPr>
        <w:t>（博士生应通过资格考</w:t>
      </w:r>
      <w:r>
        <w:rPr>
          <w:w w:val="99"/>
        </w:rPr>
        <w:t>试</w:t>
      </w:r>
      <w:r>
        <w:rPr>
          <w:spacing w:val="-159"/>
          <w:w w:val="99"/>
        </w:rPr>
        <w:t>）</w:t>
      </w:r>
      <w:r>
        <w:rPr>
          <w:w w:val="99"/>
        </w:rPr>
        <w:t>，开始学位论文开题工作并撰写学位论文开题报告书。</w:t>
      </w:r>
    </w:p>
    <w:p>
      <w:pPr>
        <w:pStyle w:val="BodyText"/>
        <w:spacing w:line="316" w:lineRule="auto"/>
        <w:ind w:left="104" w:right="264" w:firstLine="640"/>
        <w:jc w:val="both"/>
      </w:pPr>
      <w:r>
        <w:rPr/>
        <w:t>第十条 研究生应当按照如下时间段完成开题报告，具体时间由各二级单位自行确定：</w:t>
      </w:r>
    </w:p>
    <w:p>
      <w:pPr>
        <w:pStyle w:val="ListParagraph"/>
        <w:numPr>
          <w:ilvl w:val="0"/>
          <w:numId w:val="6"/>
        </w:numPr>
        <w:tabs>
          <w:tab w:pos="987" w:val="left" w:leader="none"/>
        </w:tabs>
        <w:spacing w:line="316" w:lineRule="auto" w:before="0" w:after="0"/>
        <w:ind w:left="104" w:right="264" w:firstLine="640"/>
        <w:jc w:val="left"/>
        <w:rPr>
          <w:sz w:val="32"/>
        </w:rPr>
      </w:pPr>
      <w:r>
        <w:rPr>
          <w:sz w:val="32"/>
        </w:rPr>
        <w:t>二级培养单位分别于每年</w:t>
      </w:r>
      <w:r>
        <w:rPr>
          <w:rFonts w:ascii="Times New Roman" w:eastAsia="Times New Roman"/>
          <w:sz w:val="32"/>
        </w:rPr>
        <w:t>6-7</w:t>
      </w:r>
      <w:r>
        <w:rPr>
          <w:sz w:val="32"/>
        </w:rPr>
        <w:t>月份、</w:t>
      </w:r>
      <w:r>
        <w:rPr>
          <w:rFonts w:ascii="Times New Roman" w:eastAsia="Times New Roman"/>
          <w:sz w:val="32"/>
        </w:rPr>
        <w:t>12</w:t>
      </w:r>
      <w:r>
        <w:rPr>
          <w:sz w:val="32"/>
        </w:rPr>
        <w:t>月</w:t>
      </w:r>
      <w:r>
        <w:rPr>
          <w:rFonts w:ascii="Times New Roman" w:eastAsia="Times New Roman"/>
          <w:sz w:val="32"/>
        </w:rPr>
        <w:t>-</w:t>
      </w:r>
      <w:r>
        <w:rPr>
          <w:sz w:val="32"/>
        </w:rPr>
        <w:t>次年</w:t>
      </w:r>
      <w:r>
        <w:rPr>
          <w:rFonts w:ascii="Times New Roman" w:eastAsia="Times New Roman"/>
          <w:sz w:val="32"/>
        </w:rPr>
        <w:t>1</w:t>
      </w:r>
      <w:r>
        <w:rPr>
          <w:sz w:val="32"/>
        </w:rPr>
        <w:t>月份集中组织开题报告工作。</w:t>
      </w:r>
    </w:p>
    <w:p>
      <w:pPr>
        <w:spacing w:after="0" w:line="316" w:lineRule="auto"/>
        <w:jc w:val="left"/>
        <w:rPr>
          <w:sz w:val="32"/>
        </w:rPr>
        <w:sectPr>
          <w:pgSz w:w="11910" w:h="16840"/>
          <w:pgMar w:header="0" w:footer="1274" w:top="1580" w:bottom="1460" w:left="1540" w:right="1380"/>
        </w:sectPr>
      </w:pPr>
    </w:p>
    <w:p>
      <w:pPr>
        <w:pStyle w:val="BodyText"/>
        <w:spacing w:before="1"/>
        <w:rPr>
          <w:sz w:val="8"/>
        </w:rPr>
      </w:pPr>
    </w:p>
    <w:p>
      <w:pPr>
        <w:pStyle w:val="ListParagraph"/>
        <w:numPr>
          <w:ilvl w:val="0"/>
          <w:numId w:val="6"/>
        </w:numPr>
        <w:tabs>
          <w:tab w:pos="987" w:val="left" w:leader="none"/>
        </w:tabs>
        <w:spacing w:line="316" w:lineRule="auto" w:before="65" w:after="0"/>
        <w:ind w:left="104" w:right="261" w:firstLine="640"/>
        <w:jc w:val="both"/>
        <w:rPr>
          <w:sz w:val="32"/>
        </w:rPr>
      </w:pPr>
      <w:r>
        <w:rPr>
          <w:sz w:val="32"/>
        </w:rPr>
        <w:t>硕士生应在第三学期结束前完成开题工作，非直博生应</w:t>
      </w:r>
      <w:r>
        <w:rPr>
          <w:spacing w:val="-2"/>
          <w:sz w:val="32"/>
        </w:rPr>
        <w:t>在第四学期结束前完成开题工作，直博生应在第五学期结束前完成开题工作。</w:t>
      </w:r>
    </w:p>
    <w:p>
      <w:pPr>
        <w:pStyle w:val="ListParagraph"/>
        <w:numPr>
          <w:ilvl w:val="0"/>
          <w:numId w:val="6"/>
        </w:numPr>
        <w:tabs>
          <w:tab w:pos="987" w:val="left" w:leader="none"/>
        </w:tabs>
        <w:spacing w:line="316" w:lineRule="auto" w:before="0" w:after="0"/>
        <w:ind w:left="104" w:right="264" w:firstLine="640"/>
        <w:jc w:val="both"/>
        <w:rPr>
          <w:sz w:val="32"/>
        </w:rPr>
      </w:pPr>
      <w:r>
        <w:rPr>
          <w:sz w:val="32"/>
        </w:rPr>
        <w:t>硕士生通过学位论文开题报告至学位论文答辩的时间间</w:t>
      </w:r>
      <w:r>
        <w:rPr>
          <w:spacing w:val="5"/>
          <w:w w:val="95"/>
          <w:sz w:val="32"/>
        </w:rPr>
        <w:t>隔至少在</w:t>
      </w:r>
      <w:r>
        <w:rPr>
          <w:rFonts w:ascii="Times New Roman" w:eastAsia="Times New Roman"/>
          <w:spacing w:val="6"/>
          <w:w w:val="95"/>
          <w:sz w:val="32"/>
        </w:rPr>
        <w:t>1</w:t>
      </w:r>
      <w:r>
        <w:rPr>
          <w:spacing w:val="4"/>
          <w:w w:val="95"/>
          <w:sz w:val="32"/>
        </w:rPr>
        <w:t>年以上；博士生通过学位论文开题报告至学位论文 </w:t>
      </w:r>
      <w:r>
        <w:rPr>
          <w:sz w:val="32"/>
        </w:rPr>
        <w:t>答辩的时间间隔至少在</w:t>
      </w:r>
      <w:r>
        <w:rPr>
          <w:rFonts w:ascii="Times New Roman" w:eastAsia="Times New Roman"/>
          <w:sz w:val="32"/>
        </w:rPr>
        <w:t>2</w:t>
      </w:r>
      <w:r>
        <w:rPr>
          <w:sz w:val="32"/>
        </w:rPr>
        <w:t>年以上。</w:t>
      </w:r>
    </w:p>
    <w:p>
      <w:pPr>
        <w:pStyle w:val="BodyText"/>
        <w:spacing w:line="406" w:lineRule="exact"/>
        <w:ind w:left="744"/>
        <w:jc w:val="both"/>
      </w:pPr>
      <w:r>
        <w:rPr/>
        <w:t>第十一条 开题报告按照下列要求组织实施：</w:t>
      </w:r>
    </w:p>
    <w:p>
      <w:pPr>
        <w:pStyle w:val="ListParagraph"/>
        <w:numPr>
          <w:ilvl w:val="0"/>
          <w:numId w:val="7"/>
        </w:numPr>
        <w:tabs>
          <w:tab w:pos="987" w:val="left" w:leader="none"/>
        </w:tabs>
        <w:spacing w:line="316" w:lineRule="auto" w:before="126" w:after="0"/>
        <w:ind w:left="104" w:right="264" w:firstLine="640"/>
        <w:jc w:val="left"/>
        <w:rPr>
          <w:sz w:val="32"/>
        </w:rPr>
      </w:pPr>
      <w:r>
        <w:rPr>
          <w:sz w:val="32"/>
        </w:rPr>
        <w:t>学位论文开题由二级单位的学位与研究生教育专业方向负责人统一组织，并成立相应的开题报告评审小组。</w:t>
      </w:r>
    </w:p>
    <w:p>
      <w:pPr>
        <w:pStyle w:val="ListParagraph"/>
        <w:numPr>
          <w:ilvl w:val="0"/>
          <w:numId w:val="7"/>
        </w:numPr>
        <w:tabs>
          <w:tab w:pos="995" w:val="left" w:leader="none"/>
        </w:tabs>
        <w:spacing w:line="316" w:lineRule="auto" w:before="0" w:after="0"/>
        <w:ind w:left="104" w:right="261" w:firstLine="640"/>
        <w:jc w:val="both"/>
        <w:rPr>
          <w:sz w:val="32"/>
        </w:rPr>
      </w:pPr>
      <w:r>
        <w:rPr>
          <w:spacing w:val="12"/>
          <w:w w:val="95"/>
          <w:sz w:val="32"/>
        </w:rPr>
        <w:t>硕士生开题报告评审小组成员由</w:t>
      </w:r>
      <w:r>
        <w:rPr>
          <w:rFonts w:ascii="Times New Roman" w:eastAsia="Times New Roman"/>
          <w:spacing w:val="4"/>
          <w:w w:val="95"/>
          <w:sz w:val="32"/>
        </w:rPr>
        <w:t>3-5</w:t>
      </w:r>
      <w:r>
        <w:rPr>
          <w:spacing w:val="10"/>
          <w:w w:val="95"/>
          <w:sz w:val="32"/>
        </w:rPr>
        <w:t>名研究生导师或具 </w:t>
      </w:r>
      <w:r>
        <w:rPr>
          <w:spacing w:val="7"/>
          <w:w w:val="95"/>
          <w:sz w:val="32"/>
        </w:rPr>
        <w:t>有高级职称的专家组成；博士生开题报告评审小组成员由</w:t>
      </w:r>
      <w:r>
        <w:rPr>
          <w:rFonts w:ascii="Times New Roman" w:eastAsia="Times New Roman"/>
          <w:w w:val="95"/>
          <w:sz w:val="32"/>
        </w:rPr>
        <w:t>3-5  </w:t>
      </w:r>
      <w:r>
        <w:rPr>
          <w:spacing w:val="-2"/>
          <w:sz w:val="32"/>
        </w:rPr>
        <w:t>名博士研究生导师或具有高级职称的专家组成；开题报告评审</w:t>
      </w:r>
      <w:r>
        <w:rPr>
          <w:spacing w:val="5"/>
          <w:w w:val="95"/>
          <w:sz w:val="32"/>
        </w:rPr>
        <w:t>小组设秘书</w:t>
      </w:r>
      <w:r>
        <w:rPr>
          <w:rFonts w:ascii="Times New Roman" w:eastAsia="Times New Roman"/>
          <w:spacing w:val="6"/>
          <w:w w:val="95"/>
          <w:sz w:val="32"/>
        </w:rPr>
        <w:t>1</w:t>
      </w:r>
      <w:r>
        <w:rPr>
          <w:spacing w:val="5"/>
          <w:w w:val="95"/>
          <w:sz w:val="32"/>
        </w:rPr>
        <w:t>名。跨学科（</w:t>
      </w:r>
      <w:r>
        <w:rPr>
          <w:spacing w:val="6"/>
          <w:w w:val="95"/>
          <w:sz w:val="32"/>
        </w:rPr>
        <w:t>门类</w:t>
      </w:r>
      <w:r>
        <w:rPr>
          <w:spacing w:val="7"/>
          <w:w w:val="95"/>
          <w:sz w:val="32"/>
        </w:rPr>
        <w:t>）</w:t>
      </w:r>
      <w:r>
        <w:rPr>
          <w:spacing w:val="4"/>
          <w:w w:val="95"/>
          <w:sz w:val="32"/>
        </w:rPr>
        <w:t>的还应聘请相关学科的研究 </w:t>
      </w:r>
      <w:r>
        <w:rPr>
          <w:spacing w:val="4"/>
          <w:sz w:val="32"/>
        </w:rPr>
        <w:t>生导师参加。</w:t>
      </w:r>
    </w:p>
    <w:p>
      <w:pPr>
        <w:pStyle w:val="ListParagraph"/>
        <w:numPr>
          <w:ilvl w:val="0"/>
          <w:numId w:val="7"/>
        </w:numPr>
        <w:tabs>
          <w:tab w:pos="990" w:val="left" w:leader="none"/>
        </w:tabs>
        <w:spacing w:line="316" w:lineRule="auto" w:before="0" w:after="0"/>
        <w:ind w:left="104" w:right="261" w:firstLine="640"/>
        <w:jc w:val="both"/>
        <w:rPr>
          <w:sz w:val="32"/>
        </w:rPr>
      </w:pPr>
      <w:r>
        <w:rPr>
          <w:spacing w:val="7"/>
          <w:w w:val="95"/>
          <w:sz w:val="32"/>
        </w:rPr>
        <w:t>开题报告会由评审小组组长主持，采取</w:t>
      </w:r>
      <w:r>
        <w:rPr>
          <w:rFonts w:ascii="Times New Roman" w:eastAsia="Times New Roman"/>
          <w:w w:val="95"/>
          <w:sz w:val="32"/>
        </w:rPr>
        <w:t>PPT</w:t>
      </w:r>
      <w:r>
        <w:rPr>
          <w:spacing w:val="5"/>
          <w:w w:val="95"/>
          <w:sz w:val="32"/>
        </w:rPr>
        <w:t>汇报和答辩 </w:t>
      </w:r>
      <w:r>
        <w:rPr>
          <w:sz w:val="32"/>
        </w:rPr>
        <w:t>相结合的方式进行，个人阐述时间硕士生不少于</w:t>
      </w:r>
      <w:r>
        <w:rPr>
          <w:rFonts w:ascii="Times New Roman" w:eastAsia="Times New Roman"/>
          <w:sz w:val="32"/>
        </w:rPr>
        <w:t>15</w:t>
      </w:r>
      <w:r>
        <w:rPr>
          <w:spacing w:val="-3"/>
          <w:sz w:val="32"/>
        </w:rPr>
        <w:t>分钟，博士生不少于</w:t>
      </w:r>
      <w:r>
        <w:rPr>
          <w:rFonts w:ascii="Times New Roman" w:eastAsia="Times New Roman"/>
          <w:spacing w:val="-3"/>
          <w:sz w:val="32"/>
        </w:rPr>
        <w:t>25</w:t>
      </w:r>
      <w:r>
        <w:rPr>
          <w:spacing w:val="-3"/>
          <w:sz w:val="32"/>
        </w:rPr>
        <w:t>分钟。</w:t>
      </w:r>
    </w:p>
    <w:p>
      <w:pPr>
        <w:pStyle w:val="ListParagraph"/>
        <w:numPr>
          <w:ilvl w:val="0"/>
          <w:numId w:val="7"/>
        </w:numPr>
        <w:tabs>
          <w:tab w:pos="987" w:val="left" w:leader="none"/>
        </w:tabs>
        <w:spacing w:line="316" w:lineRule="auto" w:before="0" w:after="0"/>
        <w:ind w:left="104" w:right="264" w:firstLine="640"/>
        <w:jc w:val="both"/>
        <w:rPr>
          <w:sz w:val="32"/>
        </w:rPr>
      </w:pPr>
      <w:r>
        <w:rPr>
          <w:sz w:val="32"/>
        </w:rPr>
        <w:t>开题报告评审小组应对研究生学位论文开题报告进行认</w:t>
      </w:r>
      <w:r>
        <w:rPr>
          <w:spacing w:val="-3"/>
          <w:w w:val="95"/>
          <w:sz w:val="32"/>
        </w:rPr>
        <w:t>真审查和论证，主要评议论文选题是否恰当，研究内容与方法 </w:t>
      </w:r>
      <w:r>
        <w:rPr>
          <w:spacing w:val="-3"/>
          <w:sz w:val="32"/>
        </w:rPr>
        <w:t>是否具有创新性，研究方案是否合理可行等。</w:t>
      </w:r>
    </w:p>
    <w:p>
      <w:pPr>
        <w:pStyle w:val="ListParagraph"/>
        <w:numPr>
          <w:ilvl w:val="0"/>
          <w:numId w:val="7"/>
        </w:numPr>
        <w:tabs>
          <w:tab w:pos="987" w:val="left" w:leader="none"/>
        </w:tabs>
        <w:spacing w:line="316" w:lineRule="auto" w:before="0" w:after="0"/>
        <w:ind w:left="104" w:right="264" w:firstLine="640"/>
        <w:jc w:val="both"/>
        <w:rPr>
          <w:sz w:val="32"/>
        </w:rPr>
      </w:pPr>
      <w:r>
        <w:rPr>
          <w:sz w:val="32"/>
        </w:rPr>
        <w:t>申请开题的研究生必须在开题前两周登陆研究生教育管</w:t>
      </w:r>
      <w:r>
        <w:rPr>
          <w:spacing w:val="6"/>
          <w:w w:val="95"/>
          <w:sz w:val="32"/>
        </w:rPr>
        <w:t>理信息系统</w:t>
      </w:r>
      <w:r>
        <w:rPr>
          <w:spacing w:val="7"/>
          <w:w w:val="95"/>
          <w:sz w:val="32"/>
        </w:rPr>
        <w:t>（</w:t>
      </w:r>
      <w:r>
        <w:rPr>
          <w:spacing w:val="6"/>
          <w:w w:val="95"/>
          <w:sz w:val="32"/>
        </w:rPr>
        <w:t>以下简称管理系统</w:t>
      </w:r>
      <w:r>
        <w:rPr>
          <w:spacing w:val="5"/>
          <w:w w:val="95"/>
          <w:sz w:val="32"/>
        </w:rPr>
        <w:t>）</w:t>
      </w:r>
      <w:r>
        <w:rPr>
          <w:spacing w:val="6"/>
          <w:w w:val="95"/>
          <w:sz w:val="32"/>
        </w:rPr>
        <w:t>申请学位论文开题，在</w:t>
      </w:r>
      <w:r>
        <w:rPr>
          <w:rFonts w:ascii="Times New Roman" w:hAnsi="Times New Roman" w:eastAsia="Times New Roman"/>
          <w:spacing w:val="4"/>
          <w:w w:val="95"/>
          <w:sz w:val="32"/>
        </w:rPr>
        <w:t>“</w:t>
      </w:r>
      <w:r>
        <w:rPr>
          <w:w w:val="95"/>
          <w:sz w:val="32"/>
        </w:rPr>
        <w:t>培 </w:t>
      </w:r>
      <w:r>
        <w:rPr>
          <w:spacing w:val="7"/>
          <w:w w:val="95"/>
          <w:sz w:val="32"/>
        </w:rPr>
        <w:t>养环节</w:t>
      </w:r>
      <w:r>
        <w:rPr>
          <w:rFonts w:ascii="Times New Roman" w:hAnsi="Times New Roman" w:eastAsia="Times New Roman"/>
          <w:spacing w:val="7"/>
          <w:w w:val="95"/>
          <w:sz w:val="32"/>
        </w:rPr>
        <w:t>”</w:t>
      </w:r>
      <w:r>
        <w:rPr>
          <w:spacing w:val="7"/>
          <w:w w:val="95"/>
          <w:sz w:val="32"/>
        </w:rPr>
        <w:t>栏的</w:t>
      </w:r>
      <w:r>
        <w:rPr>
          <w:rFonts w:ascii="Times New Roman" w:hAnsi="Times New Roman" w:eastAsia="Times New Roman"/>
          <w:spacing w:val="7"/>
          <w:w w:val="95"/>
          <w:sz w:val="32"/>
        </w:rPr>
        <w:t>“</w:t>
      </w:r>
      <w:r>
        <w:rPr>
          <w:spacing w:val="7"/>
          <w:w w:val="95"/>
          <w:sz w:val="32"/>
        </w:rPr>
        <w:t>开题报告申请</w:t>
      </w:r>
      <w:r>
        <w:rPr>
          <w:rFonts w:ascii="Times New Roman" w:hAnsi="Times New Roman" w:eastAsia="Times New Roman"/>
          <w:spacing w:val="7"/>
          <w:w w:val="95"/>
          <w:sz w:val="32"/>
        </w:rPr>
        <w:t>”</w:t>
      </w:r>
      <w:r>
        <w:rPr>
          <w:spacing w:val="6"/>
          <w:w w:val="95"/>
          <w:sz w:val="32"/>
        </w:rPr>
        <w:t>录入开题报告时间、开题报告地 </w:t>
      </w:r>
      <w:r>
        <w:rPr>
          <w:spacing w:val="-5"/>
          <w:w w:val="95"/>
          <w:sz w:val="32"/>
        </w:rPr>
        <w:t>点、学位论文题目等，并填写《开题报告》，研究生本人打印 </w:t>
      </w:r>
      <w:r>
        <w:rPr>
          <w:spacing w:val="-8"/>
          <w:w w:val="95"/>
          <w:sz w:val="32"/>
        </w:rPr>
        <w:t>纸质版《开题报告》，经指导教师审核同意后，在开题时提供</w:t>
      </w:r>
    </w:p>
    <w:p>
      <w:pPr>
        <w:spacing w:after="0" w:line="316" w:lineRule="auto"/>
        <w:jc w:val="both"/>
        <w:rPr>
          <w:sz w:val="32"/>
        </w:rPr>
        <w:sectPr>
          <w:pgSz w:w="11910" w:h="16840"/>
          <w:pgMar w:header="0" w:footer="1274" w:top="1580" w:bottom="1460" w:left="1540" w:right="1380"/>
        </w:sectPr>
      </w:pPr>
    </w:p>
    <w:p>
      <w:pPr>
        <w:pStyle w:val="BodyText"/>
        <w:spacing w:before="11"/>
        <w:rPr>
          <w:sz w:val="8"/>
        </w:rPr>
      </w:pPr>
    </w:p>
    <w:p>
      <w:pPr>
        <w:pStyle w:val="BodyText"/>
        <w:spacing w:before="55"/>
        <w:ind w:left="104"/>
      </w:pPr>
      <w:r>
        <w:rPr/>
        <w:t>给评审小组成员审阅。</w:t>
      </w:r>
    </w:p>
    <w:p>
      <w:pPr>
        <w:pStyle w:val="ListParagraph"/>
        <w:numPr>
          <w:ilvl w:val="0"/>
          <w:numId w:val="7"/>
        </w:numPr>
        <w:tabs>
          <w:tab w:pos="987" w:val="left" w:leader="none"/>
        </w:tabs>
        <w:spacing w:line="316" w:lineRule="auto" w:before="130" w:after="0"/>
        <w:ind w:left="104" w:right="240" w:firstLine="640"/>
        <w:jc w:val="both"/>
        <w:rPr>
          <w:sz w:val="32"/>
        </w:rPr>
      </w:pPr>
      <w:r>
        <w:rPr>
          <w:sz w:val="32"/>
        </w:rPr>
        <w:t>开题报告要求公开进行。在开题报告会前一周，二级单</w:t>
      </w:r>
      <w:r>
        <w:rPr>
          <w:spacing w:val="-2"/>
          <w:sz w:val="32"/>
        </w:rPr>
        <w:t>位应在研究生院网站上发布公告，公布报告人、开题报告时间</w:t>
      </w:r>
      <w:r>
        <w:rPr>
          <w:spacing w:val="-5"/>
          <w:sz w:val="32"/>
        </w:rPr>
        <w:t>和地点、学位论文题目等信息，可直接在管理系统下载《中南大学研究生学位论文开题报告公告》并公布在研究生院网站。</w:t>
      </w:r>
      <w:r>
        <w:rPr>
          <w:spacing w:val="-6"/>
          <w:sz w:val="32"/>
        </w:rPr>
        <w:t>开题报告要求组织相关学科教师和研究生参加。为加强对开题</w:t>
      </w:r>
      <w:r>
        <w:rPr>
          <w:spacing w:val="-8"/>
          <w:sz w:val="32"/>
        </w:rPr>
        <w:t>报告工作的监督与管理，研究生院组织研究生教育督查督导专家进行检查与评估。</w:t>
      </w:r>
    </w:p>
    <w:p>
      <w:pPr>
        <w:pStyle w:val="ListParagraph"/>
        <w:numPr>
          <w:ilvl w:val="0"/>
          <w:numId w:val="7"/>
        </w:numPr>
        <w:tabs>
          <w:tab w:pos="987" w:val="left" w:leader="none"/>
        </w:tabs>
        <w:spacing w:line="316" w:lineRule="auto" w:before="0" w:after="0"/>
        <w:ind w:left="104" w:right="103" w:firstLine="640"/>
        <w:jc w:val="left"/>
        <w:rPr>
          <w:sz w:val="32"/>
        </w:rPr>
      </w:pPr>
      <w:r>
        <w:rPr>
          <w:sz w:val="32"/>
        </w:rPr>
        <w:t>开题报告结束后，评审小组进行集体评议，给出评审意</w:t>
      </w:r>
      <w:r>
        <w:rPr>
          <w:spacing w:val="-4"/>
          <w:sz w:val="32"/>
        </w:rPr>
        <w:t>见、评定成绩等级，并在纸质《开题报告》上填写评审意见和</w:t>
      </w:r>
      <w:r>
        <w:rPr>
          <w:spacing w:val="-6"/>
          <w:sz w:val="32"/>
        </w:rPr>
        <w:t>成绩等级。开题报告会相关材料由评审小组秘书负责汇总，并</w:t>
      </w:r>
      <w:r>
        <w:rPr>
          <w:spacing w:val="-21"/>
          <w:sz w:val="32"/>
        </w:rPr>
        <w:t>在开题报告会结束后一周内将《开题报告》、《中南大学研究生</w:t>
      </w:r>
      <w:r>
        <w:rPr>
          <w:spacing w:val="-21"/>
          <w:w w:val="95"/>
          <w:sz w:val="32"/>
        </w:rPr>
        <w:t>学位论文开题报告情况汇总表</w:t>
      </w:r>
      <w:r>
        <w:rPr>
          <w:spacing w:val="-250"/>
          <w:w w:val="95"/>
          <w:sz w:val="32"/>
        </w:rPr>
        <w:t>》</w:t>
      </w:r>
      <w:r>
        <w:rPr>
          <w:w w:val="95"/>
          <w:sz w:val="32"/>
        </w:rPr>
        <w:t>（</w:t>
      </w:r>
      <w:r>
        <w:rPr>
          <w:spacing w:val="-22"/>
          <w:w w:val="95"/>
          <w:sz w:val="32"/>
        </w:rPr>
        <w:t>以下简称《开题报告汇总表》</w:t>
      </w:r>
      <w:r>
        <w:rPr>
          <w:w w:val="95"/>
          <w:sz w:val="32"/>
        </w:rPr>
        <w:t>） </w:t>
      </w:r>
      <w:r>
        <w:rPr>
          <w:sz w:val="32"/>
        </w:rPr>
        <w:t>等材料交所在二级培养单位。</w:t>
      </w:r>
    </w:p>
    <w:p>
      <w:pPr>
        <w:pStyle w:val="ListParagraph"/>
        <w:numPr>
          <w:ilvl w:val="0"/>
          <w:numId w:val="7"/>
        </w:numPr>
        <w:tabs>
          <w:tab w:pos="987" w:val="left" w:leader="none"/>
        </w:tabs>
        <w:spacing w:line="316" w:lineRule="auto" w:before="0" w:after="0"/>
        <w:ind w:left="104" w:right="261" w:firstLine="640"/>
        <w:jc w:val="both"/>
        <w:rPr>
          <w:sz w:val="32"/>
        </w:rPr>
      </w:pPr>
      <w:r>
        <w:rPr>
          <w:sz w:val="32"/>
        </w:rPr>
        <w:t>开题报告会结束后两周内，二级培养单位应在管理系统</w:t>
      </w:r>
      <w:r>
        <w:rPr>
          <w:spacing w:val="-19"/>
          <w:w w:val="95"/>
          <w:sz w:val="32"/>
        </w:rPr>
        <w:t>录入开题报告日期和开题报告评定等级；并将《开题报告》</w:t>
      </w:r>
      <w:r>
        <w:rPr>
          <w:spacing w:val="-91"/>
          <w:w w:val="95"/>
          <w:sz w:val="32"/>
        </w:rPr>
        <w:t>、《开 </w:t>
      </w:r>
      <w:r>
        <w:rPr>
          <w:spacing w:val="-91"/>
          <w:sz w:val="32"/>
        </w:rPr>
        <w:t>题报告汇总表》等纸质材料整理后在本单位存档。</w:t>
      </w:r>
    </w:p>
    <w:p>
      <w:pPr>
        <w:pStyle w:val="ListParagraph"/>
        <w:numPr>
          <w:ilvl w:val="0"/>
          <w:numId w:val="7"/>
        </w:numPr>
        <w:tabs>
          <w:tab w:pos="987" w:val="left" w:leader="none"/>
        </w:tabs>
        <w:spacing w:line="316" w:lineRule="auto" w:before="0" w:after="0"/>
        <w:ind w:left="104" w:right="264" w:firstLine="640"/>
        <w:jc w:val="left"/>
        <w:rPr>
          <w:sz w:val="32"/>
        </w:rPr>
      </w:pPr>
      <w:r>
        <w:rPr>
          <w:sz w:val="32"/>
        </w:rPr>
        <w:t>每个学期二级培养单位应通过管理系统打印本学期《中南大学研究生学位论文开题报告成绩单》交研究生院备案。</w:t>
      </w:r>
    </w:p>
    <w:p>
      <w:pPr>
        <w:pStyle w:val="BodyText"/>
        <w:spacing w:line="316" w:lineRule="auto"/>
        <w:ind w:left="104" w:right="102" w:firstLine="640"/>
      </w:pPr>
      <w:r>
        <w:rPr>
          <w:w w:val="99"/>
        </w:rPr>
        <w:t>第十二条</w:t>
      </w:r>
      <w:r>
        <w:rPr/>
        <w:t> </w:t>
      </w:r>
      <w:r>
        <w:rPr>
          <w:spacing w:val="-8"/>
          <w:w w:val="99"/>
        </w:rPr>
        <w:t>开题报告评审按优秀</w:t>
      </w:r>
      <w:r>
        <w:rPr>
          <w:w w:val="99"/>
        </w:rPr>
        <w:t>（</w:t>
      </w:r>
      <w:r>
        <w:rPr>
          <w:rFonts w:ascii="Times New Roman" w:eastAsia="Times New Roman"/>
          <w:w w:val="99"/>
        </w:rPr>
        <w:t>A</w:t>
      </w:r>
      <w:r>
        <w:rPr>
          <w:spacing w:val="-159"/>
          <w:w w:val="99"/>
        </w:rPr>
        <w:t>）</w:t>
      </w:r>
      <w:r>
        <w:rPr>
          <w:spacing w:val="-48"/>
          <w:w w:val="99"/>
        </w:rPr>
        <w:t>、良好</w:t>
      </w:r>
      <w:r>
        <w:rPr>
          <w:w w:val="99"/>
        </w:rPr>
        <w:t>（</w:t>
      </w:r>
      <w:r>
        <w:rPr>
          <w:rFonts w:ascii="Times New Roman" w:eastAsia="Times New Roman"/>
          <w:w w:val="99"/>
        </w:rPr>
        <w:t>B</w:t>
      </w:r>
      <w:r>
        <w:rPr>
          <w:spacing w:val="-159"/>
          <w:w w:val="99"/>
        </w:rPr>
        <w:t>）</w:t>
      </w:r>
      <w:r>
        <w:rPr>
          <w:spacing w:val="-48"/>
          <w:w w:val="99"/>
        </w:rPr>
        <w:t>、合格</w:t>
      </w:r>
      <w:r>
        <w:rPr>
          <w:w w:val="99"/>
        </w:rPr>
        <w:t>（</w:t>
      </w:r>
      <w:r>
        <w:rPr>
          <w:rFonts w:ascii="Times New Roman" w:eastAsia="Times New Roman"/>
          <w:spacing w:val="3"/>
          <w:w w:val="99"/>
        </w:rPr>
        <w:t>C</w:t>
      </w:r>
      <w:r>
        <w:rPr>
          <w:w w:val="99"/>
        </w:rPr>
        <w:t>）</w:t>
      </w:r>
      <w:r>
        <w:rPr/>
        <w:t>和不合格（</w:t>
      </w:r>
      <w:r>
        <w:rPr>
          <w:rFonts w:ascii="Times New Roman" w:eastAsia="Times New Roman"/>
        </w:rPr>
        <w:t>D</w:t>
      </w:r>
      <w:r>
        <w:rPr/>
        <w:t>）四个等级评定成绩。</w:t>
      </w:r>
    </w:p>
    <w:p>
      <w:pPr>
        <w:pStyle w:val="ListParagraph"/>
        <w:numPr>
          <w:ilvl w:val="0"/>
          <w:numId w:val="8"/>
        </w:numPr>
        <w:tabs>
          <w:tab w:pos="987" w:val="left" w:leader="none"/>
        </w:tabs>
        <w:spacing w:line="316" w:lineRule="auto" w:before="0" w:after="0"/>
        <w:ind w:left="104" w:right="103" w:firstLine="640"/>
        <w:jc w:val="both"/>
        <w:rPr>
          <w:sz w:val="32"/>
        </w:rPr>
      </w:pPr>
      <w:r>
        <w:rPr>
          <w:sz w:val="32"/>
        </w:rPr>
        <w:t>开题报告成绩合格以上者即为通过开题。通过者应根据</w:t>
      </w:r>
      <w:r>
        <w:rPr>
          <w:spacing w:val="-3"/>
          <w:sz w:val="32"/>
        </w:rPr>
        <w:t>开题报告评审小组的意见，对选题方案进行修改、补充，并在</w:t>
      </w:r>
      <w:r>
        <w:rPr>
          <w:spacing w:val="-16"/>
          <w:sz w:val="32"/>
        </w:rPr>
        <w:t>管理系统《开题报告》中进行修改，同时提交至导师审核确认。</w:t>
      </w:r>
    </w:p>
    <w:p>
      <w:pPr>
        <w:pStyle w:val="ListParagraph"/>
        <w:numPr>
          <w:ilvl w:val="0"/>
          <w:numId w:val="8"/>
        </w:numPr>
        <w:tabs>
          <w:tab w:pos="987" w:val="left" w:leader="none"/>
        </w:tabs>
        <w:spacing w:line="406" w:lineRule="exact" w:before="0" w:after="0"/>
        <w:ind w:left="986" w:right="0" w:hanging="243"/>
        <w:jc w:val="left"/>
        <w:rPr>
          <w:sz w:val="32"/>
        </w:rPr>
      </w:pPr>
      <w:r>
        <w:rPr>
          <w:sz w:val="32"/>
        </w:rPr>
        <w:t>开题报告成绩不合格即为未通过开题。未通过者应根据</w:t>
      </w:r>
    </w:p>
    <w:p>
      <w:pPr>
        <w:spacing w:after="0" w:line="406" w:lineRule="exact"/>
        <w:jc w:val="left"/>
        <w:rPr>
          <w:sz w:val="32"/>
        </w:rPr>
        <w:sectPr>
          <w:pgSz w:w="11910" w:h="16840"/>
          <w:pgMar w:header="0" w:footer="1274" w:top="1580" w:bottom="1460" w:left="1540" w:right="1380"/>
        </w:sectPr>
      </w:pPr>
    </w:p>
    <w:p>
      <w:pPr>
        <w:pStyle w:val="BodyText"/>
        <w:spacing w:before="11"/>
        <w:rPr>
          <w:sz w:val="8"/>
        </w:rPr>
      </w:pPr>
    </w:p>
    <w:p>
      <w:pPr>
        <w:pStyle w:val="BodyText"/>
        <w:spacing w:line="316" w:lineRule="auto" w:before="55"/>
        <w:ind w:left="104" w:right="261"/>
        <w:jc w:val="both"/>
      </w:pPr>
      <w:r>
        <w:rPr>
          <w:spacing w:val="-2"/>
          <w:w w:val="95"/>
        </w:rPr>
        <w:t>评审小组的意见对开题报告进行全面修改，经本人申请、指导 </w:t>
      </w:r>
      <w:r>
        <w:rPr>
          <w:spacing w:val="-5"/>
        </w:rPr>
        <w:t>教师同意后，按照学位论文开题报告程序重新进行开题，两次开题的时间间隔不少于</w:t>
      </w:r>
      <w:r>
        <w:rPr>
          <w:rFonts w:ascii="Times New Roman" w:eastAsia="Times New Roman"/>
          <w:spacing w:val="-5"/>
        </w:rPr>
        <w:t>6</w:t>
      </w:r>
      <w:r>
        <w:rPr>
          <w:spacing w:val="-5"/>
        </w:rPr>
        <w:t>个月。自入学起，硕士生</w:t>
      </w:r>
      <w:r>
        <w:rPr>
          <w:rFonts w:ascii="Times New Roman" w:eastAsia="Times New Roman"/>
        </w:rPr>
        <w:t>4</w:t>
      </w:r>
      <w:r>
        <w:rPr>
          <w:spacing w:val="-3"/>
        </w:rPr>
        <w:t>年内，博士生</w:t>
      </w:r>
      <w:r>
        <w:rPr>
          <w:rFonts w:ascii="Times New Roman" w:eastAsia="Times New Roman"/>
          <w:spacing w:val="-3"/>
        </w:rPr>
        <w:t>5</w:t>
      </w:r>
      <w:r>
        <w:rPr>
          <w:spacing w:val="-3"/>
        </w:rPr>
        <w:t>年内未通过学位论文开题的，按退学处理。</w:t>
      </w:r>
    </w:p>
    <w:p>
      <w:pPr>
        <w:pStyle w:val="BodyText"/>
        <w:spacing w:line="316" w:lineRule="auto"/>
        <w:ind w:left="104" w:right="261" w:firstLine="640"/>
        <w:jc w:val="both"/>
      </w:pPr>
      <w:r>
        <w:rPr/>
        <w:t>第十三条 开题报告通过后，原则上不得随意更改学位论</w:t>
      </w:r>
      <w:r>
        <w:rPr>
          <w:spacing w:val="-3"/>
        </w:rPr>
        <w:t>文研究方向。研究生申请学位论文答辩时提交的学位论文，其研究方向和主要研究内容应与开题报告相符。</w:t>
      </w:r>
    </w:p>
    <w:p>
      <w:pPr>
        <w:pStyle w:val="ListParagraph"/>
        <w:numPr>
          <w:ilvl w:val="0"/>
          <w:numId w:val="9"/>
        </w:numPr>
        <w:tabs>
          <w:tab w:pos="987" w:val="left" w:leader="none"/>
        </w:tabs>
        <w:spacing w:line="316" w:lineRule="auto" w:before="0" w:after="0"/>
        <w:ind w:left="104" w:right="264" w:firstLine="640"/>
        <w:jc w:val="left"/>
        <w:rPr>
          <w:sz w:val="32"/>
        </w:rPr>
      </w:pPr>
      <w:r>
        <w:rPr>
          <w:sz w:val="32"/>
        </w:rPr>
        <w:t>在不涉及研究方向和主要研究内容改变的情况下，学位论文题目可做调整。</w:t>
      </w:r>
    </w:p>
    <w:p>
      <w:pPr>
        <w:pStyle w:val="ListParagraph"/>
        <w:numPr>
          <w:ilvl w:val="0"/>
          <w:numId w:val="9"/>
        </w:numPr>
        <w:tabs>
          <w:tab w:pos="987" w:val="left" w:leader="none"/>
        </w:tabs>
        <w:spacing w:line="316" w:lineRule="auto" w:before="0" w:after="0"/>
        <w:ind w:left="104" w:right="240" w:firstLine="640"/>
        <w:jc w:val="both"/>
        <w:rPr>
          <w:sz w:val="32"/>
        </w:rPr>
      </w:pPr>
      <w:r>
        <w:rPr>
          <w:sz w:val="32"/>
        </w:rPr>
        <w:t>因特殊情况，学位论文题目确实需要做较大的更改且涉</w:t>
      </w:r>
      <w:r>
        <w:rPr>
          <w:spacing w:val="11"/>
          <w:w w:val="95"/>
          <w:sz w:val="32"/>
        </w:rPr>
        <w:t>及研究方向或主要研究内容的改变时，需研究生本人提出申 </w:t>
      </w:r>
      <w:r>
        <w:rPr>
          <w:spacing w:val="-2"/>
          <w:w w:val="95"/>
          <w:sz w:val="32"/>
        </w:rPr>
        <w:t>请，填写《中南大学研究生学位论文题目变更申请表》，经指 </w:t>
      </w:r>
      <w:r>
        <w:rPr>
          <w:spacing w:val="-5"/>
          <w:sz w:val="32"/>
        </w:rPr>
        <w:t>导教师签字同意、所在二级单位主管领导审批同意后，按照学</w:t>
      </w:r>
      <w:r>
        <w:rPr>
          <w:spacing w:val="-7"/>
          <w:sz w:val="32"/>
        </w:rPr>
        <w:t>位论文开题报告程序重新组织开题，本次开题报告只记通过和</w:t>
      </w:r>
      <w:r>
        <w:rPr>
          <w:spacing w:val="-6"/>
          <w:sz w:val="32"/>
        </w:rPr>
        <w:t>未通过，开题报告成绩以第一次为准。重新开题的硕士生，通过开题至论文答辩时间间隔需半年以上；重新开题的博士生， </w:t>
      </w:r>
      <w:r>
        <w:rPr>
          <w:spacing w:val="5"/>
          <w:w w:val="95"/>
          <w:sz w:val="32"/>
        </w:rPr>
        <w:t>通过开题至论文答辩时间间隔需</w:t>
      </w:r>
      <w:r>
        <w:rPr>
          <w:rFonts w:ascii="Times New Roman" w:eastAsia="Times New Roman"/>
          <w:spacing w:val="6"/>
          <w:w w:val="95"/>
          <w:sz w:val="32"/>
        </w:rPr>
        <w:t>1</w:t>
      </w:r>
      <w:r>
        <w:rPr>
          <w:spacing w:val="4"/>
          <w:w w:val="95"/>
          <w:sz w:val="32"/>
        </w:rPr>
        <w:t>年以上。如未办理有关审批 </w:t>
      </w:r>
      <w:r>
        <w:rPr>
          <w:spacing w:val="11"/>
          <w:w w:val="95"/>
          <w:sz w:val="32"/>
        </w:rPr>
        <w:t>手续并重新进行开题报告则不能进入后续的学位论文答辩环 </w:t>
      </w:r>
      <w:r>
        <w:rPr>
          <w:spacing w:val="11"/>
          <w:sz w:val="32"/>
        </w:rPr>
        <w:t>节。</w:t>
      </w:r>
    </w:p>
    <w:p>
      <w:pPr>
        <w:pStyle w:val="BodyText"/>
        <w:tabs>
          <w:tab w:pos="1279" w:val="left" w:leader="none"/>
        </w:tabs>
        <w:spacing w:before="217"/>
        <w:ind w:right="160"/>
        <w:jc w:val="center"/>
        <w:rPr>
          <w:rFonts w:ascii="黑体" w:eastAsia="黑体" w:hint="eastAsia"/>
        </w:rPr>
      </w:pPr>
      <w:r>
        <w:rPr>
          <w:rFonts w:ascii="黑体" w:eastAsia="黑体" w:hint="eastAsia"/>
        </w:rPr>
        <w:t>第四章</w:t>
        <w:tab/>
        <w:t>中期考核</w:t>
      </w:r>
    </w:p>
    <w:p>
      <w:pPr>
        <w:pStyle w:val="BodyText"/>
        <w:spacing w:before="11"/>
        <w:rPr>
          <w:rFonts w:ascii="黑体"/>
          <w:sz w:val="28"/>
        </w:rPr>
      </w:pPr>
    </w:p>
    <w:p>
      <w:pPr>
        <w:pStyle w:val="BodyText"/>
        <w:tabs>
          <w:tab w:pos="1776" w:val="left" w:leader="none"/>
          <w:tab w:pos="2275" w:val="left" w:leader="none"/>
        </w:tabs>
        <w:spacing w:line="316" w:lineRule="auto"/>
        <w:ind w:left="104" w:right="240" w:firstLine="640"/>
        <w:jc w:val="right"/>
      </w:pPr>
      <w:r>
        <w:rPr/>
        <w:t>第</w:t>
      </w:r>
      <w:r>
        <w:rPr>
          <w:spacing w:val="5"/>
        </w:rPr>
        <w:t>十</w:t>
      </w:r>
      <w:r>
        <w:rPr/>
        <w:t>四条</w:t>
        <w:tab/>
        <w:t>所</w:t>
      </w:r>
      <w:r>
        <w:rPr>
          <w:spacing w:val="5"/>
        </w:rPr>
        <w:t>有</w:t>
      </w:r>
      <w:r>
        <w:rPr/>
        <w:t>博士生</w:t>
      </w:r>
      <w:r>
        <w:rPr>
          <w:spacing w:val="5"/>
        </w:rPr>
        <w:t>必</w:t>
      </w:r>
      <w:r>
        <w:rPr/>
        <w:t>须参</w:t>
      </w:r>
      <w:r>
        <w:rPr>
          <w:spacing w:val="5"/>
        </w:rPr>
        <w:t>加</w:t>
      </w:r>
      <w:r>
        <w:rPr/>
        <w:t>中期</w:t>
      </w:r>
      <w:r>
        <w:rPr>
          <w:spacing w:val="5"/>
        </w:rPr>
        <w:t>考</w:t>
      </w:r>
      <w:r>
        <w:rPr/>
        <w:t>核。各</w:t>
      </w:r>
      <w:r>
        <w:rPr>
          <w:spacing w:val="5"/>
        </w:rPr>
        <w:t>二</w:t>
      </w:r>
      <w:r>
        <w:rPr/>
        <w:t>级培</w:t>
      </w:r>
      <w:r>
        <w:rPr>
          <w:spacing w:val="5"/>
        </w:rPr>
        <w:t>养</w:t>
      </w:r>
      <w:r>
        <w:rPr/>
        <w:t>单</w:t>
      </w:r>
      <w:r>
        <w:rPr>
          <w:w w:val="95"/>
        </w:rPr>
        <w:t>位可根据本单位实际情况和研究生培养质量保障需要</w:t>
      </w:r>
      <w:r>
        <w:rPr>
          <w:spacing w:val="-22"/>
          <w:w w:val="95"/>
        </w:rPr>
        <w:t>，</w:t>
      </w:r>
      <w:r>
        <w:rPr>
          <w:w w:val="95"/>
        </w:rPr>
        <w:t>决定硕 士生是否参加中期考核，并在相关培养方案中明确具体要求。 </w:t>
      </w:r>
      <w:r>
        <w:rPr>
          <w:spacing w:val="14"/>
        </w:rPr>
        <w:t>第</w:t>
      </w:r>
      <w:r>
        <w:rPr>
          <w:spacing w:val="9"/>
        </w:rPr>
        <w:t>十</w:t>
      </w:r>
      <w:r>
        <w:rPr>
          <w:spacing w:val="14"/>
        </w:rPr>
        <w:t>五</w:t>
      </w:r>
      <w:r>
        <w:rPr/>
        <w:t>条</w:t>
        <w:tab/>
      </w:r>
      <w:r>
        <w:rPr>
          <w:spacing w:val="14"/>
          <w:w w:val="95"/>
        </w:rPr>
        <w:t>研</w:t>
      </w:r>
      <w:r>
        <w:rPr>
          <w:spacing w:val="12"/>
          <w:w w:val="95"/>
        </w:rPr>
        <w:t>究</w:t>
      </w:r>
      <w:r>
        <w:rPr>
          <w:spacing w:val="14"/>
          <w:w w:val="95"/>
        </w:rPr>
        <w:t>生</w:t>
      </w:r>
      <w:r>
        <w:rPr>
          <w:spacing w:val="12"/>
          <w:w w:val="95"/>
        </w:rPr>
        <w:t>中</w:t>
      </w:r>
      <w:r>
        <w:rPr>
          <w:spacing w:val="14"/>
          <w:w w:val="95"/>
        </w:rPr>
        <w:t>期</w:t>
      </w:r>
      <w:r>
        <w:rPr>
          <w:spacing w:val="12"/>
          <w:w w:val="95"/>
        </w:rPr>
        <w:t>考</w:t>
      </w:r>
      <w:r>
        <w:rPr>
          <w:spacing w:val="14"/>
          <w:w w:val="95"/>
        </w:rPr>
        <w:t>核</w:t>
      </w:r>
      <w:r>
        <w:rPr>
          <w:spacing w:val="12"/>
          <w:w w:val="95"/>
        </w:rPr>
        <w:t>基</w:t>
      </w:r>
      <w:r>
        <w:rPr>
          <w:spacing w:val="14"/>
          <w:w w:val="95"/>
        </w:rPr>
        <w:t>本</w:t>
      </w:r>
      <w:r>
        <w:rPr>
          <w:spacing w:val="12"/>
          <w:w w:val="95"/>
        </w:rPr>
        <w:t>条</w:t>
      </w:r>
      <w:r>
        <w:rPr>
          <w:spacing w:val="14"/>
          <w:w w:val="95"/>
        </w:rPr>
        <w:t>件</w:t>
      </w:r>
      <w:r>
        <w:rPr>
          <w:spacing w:val="12"/>
          <w:w w:val="95"/>
        </w:rPr>
        <w:t>为</w:t>
      </w:r>
      <w:r>
        <w:rPr>
          <w:spacing w:val="14"/>
          <w:w w:val="95"/>
        </w:rPr>
        <w:t>完</w:t>
      </w:r>
      <w:r>
        <w:rPr>
          <w:spacing w:val="12"/>
          <w:w w:val="95"/>
        </w:rPr>
        <w:t>成</w:t>
      </w:r>
      <w:r>
        <w:rPr>
          <w:spacing w:val="14"/>
          <w:w w:val="95"/>
        </w:rPr>
        <w:t>课</w:t>
      </w:r>
      <w:r>
        <w:rPr>
          <w:spacing w:val="12"/>
          <w:w w:val="95"/>
        </w:rPr>
        <w:t>程</w:t>
      </w:r>
      <w:r>
        <w:rPr>
          <w:spacing w:val="14"/>
          <w:w w:val="95"/>
        </w:rPr>
        <w:t>学</w:t>
      </w:r>
      <w:r>
        <w:rPr>
          <w:spacing w:val="12"/>
          <w:w w:val="95"/>
        </w:rPr>
        <w:t>习</w:t>
      </w:r>
      <w:r>
        <w:rPr>
          <w:w w:val="95"/>
        </w:rPr>
        <w:t>并</w:t>
      </w:r>
    </w:p>
    <w:p>
      <w:pPr>
        <w:spacing w:after="0" w:line="316" w:lineRule="auto"/>
        <w:jc w:val="right"/>
        <w:sectPr>
          <w:pgSz w:w="11910" w:h="16840"/>
          <w:pgMar w:header="0" w:footer="1274" w:top="1580" w:bottom="1460" w:left="1540" w:right="1380"/>
        </w:sectPr>
      </w:pPr>
    </w:p>
    <w:p>
      <w:pPr>
        <w:pStyle w:val="BodyText"/>
        <w:spacing w:before="11"/>
        <w:rPr>
          <w:sz w:val="8"/>
        </w:rPr>
      </w:pPr>
    </w:p>
    <w:p>
      <w:pPr>
        <w:pStyle w:val="BodyText"/>
        <w:spacing w:line="316" w:lineRule="auto" w:before="55"/>
        <w:ind w:left="104" w:right="195"/>
      </w:pPr>
      <w:r>
        <w:rPr>
          <w:w w:val="95"/>
        </w:rPr>
        <w:t>取得相应学分、通过学位论文开题、研究课题已取得一定的进 </w:t>
      </w:r>
      <w:r>
        <w:rPr/>
        <w:t>展。</w:t>
      </w:r>
    </w:p>
    <w:p>
      <w:pPr>
        <w:pStyle w:val="BodyText"/>
        <w:tabs>
          <w:tab w:pos="2343" w:val="left" w:leader="none"/>
        </w:tabs>
        <w:spacing w:line="316" w:lineRule="auto"/>
        <w:ind w:left="104" w:right="240" w:firstLine="640"/>
      </w:pPr>
      <w:r>
        <w:rPr/>
        <w:t>第十六条</w:t>
        <w:tab/>
        <w:t>博士研究生应当按照如下时间完成中期考核</w:t>
      </w:r>
      <w:r>
        <w:rPr>
          <w:spacing w:val="-12"/>
        </w:rPr>
        <w:t>， </w:t>
      </w:r>
      <w:r>
        <w:rPr/>
        <w:t>具体时间由各二级单位自行确定：</w:t>
      </w:r>
    </w:p>
    <w:p>
      <w:pPr>
        <w:pStyle w:val="ListParagraph"/>
        <w:numPr>
          <w:ilvl w:val="0"/>
          <w:numId w:val="10"/>
        </w:numPr>
        <w:tabs>
          <w:tab w:pos="987" w:val="left" w:leader="none"/>
        </w:tabs>
        <w:spacing w:line="408" w:lineRule="exact" w:before="0" w:after="0"/>
        <w:ind w:left="986" w:right="0" w:hanging="243"/>
        <w:jc w:val="left"/>
        <w:rPr>
          <w:sz w:val="32"/>
        </w:rPr>
      </w:pPr>
      <w:r>
        <w:rPr>
          <w:sz w:val="32"/>
        </w:rPr>
        <w:t>通过学位论文开题</w:t>
      </w:r>
      <w:r>
        <w:rPr>
          <w:rFonts w:ascii="Times New Roman" w:eastAsia="Times New Roman"/>
          <w:sz w:val="32"/>
        </w:rPr>
        <w:t>1</w:t>
      </w:r>
      <w:r>
        <w:rPr>
          <w:sz w:val="32"/>
        </w:rPr>
        <w:t>年后进行中期考核；</w:t>
      </w:r>
    </w:p>
    <w:p>
      <w:pPr>
        <w:pStyle w:val="ListParagraph"/>
        <w:numPr>
          <w:ilvl w:val="0"/>
          <w:numId w:val="10"/>
        </w:numPr>
        <w:tabs>
          <w:tab w:pos="987" w:val="left" w:leader="none"/>
        </w:tabs>
        <w:spacing w:line="316" w:lineRule="auto" w:before="127" w:after="0"/>
        <w:ind w:left="104" w:right="264" w:firstLine="640"/>
        <w:jc w:val="left"/>
        <w:rPr>
          <w:sz w:val="32"/>
        </w:rPr>
      </w:pPr>
      <w:r>
        <w:rPr>
          <w:sz w:val="32"/>
        </w:rPr>
        <w:t>非直博生应在第六学期结束前完成，直博生应在第七学期结束前完成；</w:t>
      </w:r>
    </w:p>
    <w:p>
      <w:pPr>
        <w:pStyle w:val="ListParagraph"/>
        <w:numPr>
          <w:ilvl w:val="0"/>
          <w:numId w:val="10"/>
        </w:numPr>
        <w:tabs>
          <w:tab w:pos="987" w:val="left" w:leader="none"/>
        </w:tabs>
        <w:spacing w:line="316" w:lineRule="auto" w:before="0" w:after="0"/>
        <w:ind w:left="104" w:right="264" w:firstLine="640"/>
        <w:jc w:val="left"/>
        <w:rPr>
          <w:sz w:val="32"/>
        </w:rPr>
      </w:pPr>
      <w:r>
        <w:rPr>
          <w:sz w:val="32"/>
        </w:rPr>
        <w:t>博士生通过学位论文中期考核至学位论文答辩的时间间隔至少在</w:t>
      </w:r>
      <w:r>
        <w:rPr>
          <w:rFonts w:ascii="Times New Roman" w:eastAsia="Times New Roman"/>
          <w:sz w:val="32"/>
        </w:rPr>
        <w:t>1</w:t>
      </w:r>
      <w:r>
        <w:rPr>
          <w:sz w:val="32"/>
        </w:rPr>
        <w:t>年以上。</w:t>
      </w:r>
    </w:p>
    <w:p>
      <w:pPr>
        <w:pStyle w:val="BodyText"/>
        <w:tabs>
          <w:tab w:pos="2275" w:val="left" w:leader="none"/>
        </w:tabs>
        <w:spacing w:line="316" w:lineRule="auto"/>
        <w:ind w:left="104" w:right="240" w:firstLine="640"/>
        <w:jc w:val="right"/>
      </w:pPr>
      <w:r>
        <w:rPr/>
        <w:t>第十七条</w:t>
        <w:tab/>
        <w:t>按</w:t>
      </w:r>
      <w:r>
        <w:rPr>
          <w:spacing w:val="5"/>
        </w:rPr>
        <w:t>照</w:t>
      </w:r>
      <w:r>
        <w:rPr/>
        <w:t>全面发</w:t>
      </w:r>
      <w:r>
        <w:rPr>
          <w:spacing w:val="5"/>
        </w:rPr>
        <w:t>展</w:t>
      </w:r>
      <w:r>
        <w:rPr/>
        <w:t>的要</w:t>
      </w:r>
      <w:r>
        <w:rPr>
          <w:spacing w:val="5"/>
        </w:rPr>
        <w:t>求</w:t>
      </w:r>
      <w:r>
        <w:rPr/>
        <w:t>，对</w:t>
      </w:r>
      <w:r>
        <w:rPr>
          <w:spacing w:val="5"/>
        </w:rPr>
        <w:t>照</w:t>
      </w:r>
      <w:r>
        <w:rPr/>
        <w:t>检查个</w:t>
      </w:r>
      <w:r>
        <w:rPr>
          <w:spacing w:val="5"/>
        </w:rPr>
        <w:t>人</w:t>
      </w:r>
      <w:r>
        <w:rPr/>
        <w:t>培养</w:t>
      </w:r>
      <w:r>
        <w:rPr>
          <w:spacing w:val="5"/>
        </w:rPr>
        <w:t>计</w:t>
      </w:r>
      <w:r>
        <w:rPr/>
        <w:t>划</w:t>
      </w:r>
      <w:r>
        <w:rPr>
          <w:w w:val="95"/>
        </w:rPr>
        <w:t>执行情况</w:t>
      </w:r>
      <w:r>
        <w:rPr>
          <w:spacing w:val="-5"/>
          <w:w w:val="95"/>
        </w:rPr>
        <w:t>，</w:t>
      </w:r>
      <w:r>
        <w:rPr>
          <w:w w:val="95"/>
        </w:rPr>
        <w:t>全面考核研究生思想政治素质</w:t>
      </w:r>
      <w:r>
        <w:rPr>
          <w:spacing w:val="-7"/>
          <w:w w:val="95"/>
        </w:rPr>
        <w:t>、</w:t>
      </w:r>
      <w:r>
        <w:rPr>
          <w:w w:val="95"/>
        </w:rPr>
        <w:t>专业实践</w:t>
      </w:r>
      <w:r>
        <w:rPr>
          <w:spacing w:val="-7"/>
          <w:w w:val="95"/>
        </w:rPr>
        <w:t>、</w:t>
      </w:r>
      <w:r>
        <w:rPr>
          <w:w w:val="95"/>
        </w:rPr>
        <w:t>社会实 践、科研训练、论文进展及科研创新能力等。具体内容如下：  </w:t>
      </w:r>
      <w:r>
        <w:rPr>
          <w:rFonts w:ascii="Times New Roman" w:eastAsia="Times New Roman"/>
          <w:w w:val="95"/>
        </w:rPr>
        <w:t>1.</w:t>
      </w:r>
      <w:r>
        <w:rPr>
          <w:w w:val="95"/>
        </w:rPr>
        <w:t>政治思想及道德品质表现：主要从研究生政治素质、治</w:t>
      </w:r>
    </w:p>
    <w:p>
      <w:pPr>
        <w:pStyle w:val="BodyText"/>
        <w:spacing w:line="316" w:lineRule="auto"/>
        <w:ind w:left="104" w:right="193"/>
      </w:pPr>
      <w:r>
        <w:rPr>
          <w:w w:val="95"/>
        </w:rPr>
        <w:t>学态度、道德修养、组织纪律等方面考核研究生品行是否达到 </w:t>
      </w:r>
      <w:r>
        <w:rPr/>
        <w:t>研究生培养目标的要求；</w:t>
      </w:r>
    </w:p>
    <w:p>
      <w:pPr>
        <w:pStyle w:val="ListParagraph"/>
        <w:numPr>
          <w:ilvl w:val="0"/>
          <w:numId w:val="11"/>
        </w:numPr>
        <w:tabs>
          <w:tab w:pos="987" w:val="left" w:leader="none"/>
        </w:tabs>
        <w:spacing w:line="316" w:lineRule="auto" w:before="0" w:after="0"/>
        <w:ind w:left="104" w:right="319" w:firstLine="640"/>
        <w:jc w:val="left"/>
        <w:rPr>
          <w:sz w:val="32"/>
        </w:rPr>
      </w:pPr>
      <w:r>
        <w:rPr>
          <w:sz w:val="32"/>
        </w:rPr>
        <w:t>实践环节学习情况：主要考核研究生个人培养计划中社会实践、学术研讨与学术交流等实践环节的执行情况；</w:t>
      </w:r>
    </w:p>
    <w:p>
      <w:pPr>
        <w:pStyle w:val="ListParagraph"/>
        <w:numPr>
          <w:ilvl w:val="0"/>
          <w:numId w:val="11"/>
        </w:numPr>
        <w:tabs>
          <w:tab w:pos="987" w:val="left" w:leader="none"/>
        </w:tabs>
        <w:spacing w:line="316" w:lineRule="auto" w:before="0" w:after="0"/>
        <w:ind w:left="104" w:right="103" w:firstLine="640"/>
        <w:jc w:val="left"/>
        <w:rPr>
          <w:sz w:val="32"/>
        </w:rPr>
      </w:pPr>
      <w:r>
        <w:rPr>
          <w:sz w:val="32"/>
        </w:rPr>
        <w:t>科研能力及学位论文进展情况：主要结合研究生论文研</w:t>
      </w:r>
      <w:r>
        <w:rPr>
          <w:spacing w:val="-3"/>
          <w:sz w:val="32"/>
        </w:rPr>
        <w:t>究课题进展情况、文献综述、学术论文发表等科研活动的情况</w:t>
      </w:r>
      <w:r>
        <w:rPr>
          <w:spacing w:val="-6"/>
          <w:sz w:val="32"/>
        </w:rPr>
        <w:t>进行考核，考查研究生是否按照开题报告的研究内容和进度开</w:t>
      </w:r>
      <w:r>
        <w:rPr>
          <w:spacing w:val="-16"/>
          <w:sz w:val="32"/>
        </w:rPr>
        <w:t>展科研工作，研究课题的进展情况，是否有违反学术道德情况， 以及研究生从事科学研究的能力。</w:t>
      </w:r>
    </w:p>
    <w:p>
      <w:pPr>
        <w:pStyle w:val="BodyText"/>
        <w:spacing w:line="316" w:lineRule="auto"/>
        <w:ind w:left="104" w:right="261" w:firstLine="640"/>
        <w:jc w:val="both"/>
      </w:pPr>
      <w:r>
        <w:rPr/>
        <w:t>第十八条 参加中期考核研究生如实填写《中南大学博士生（硕士生）中期考核表》的</w:t>
      </w:r>
      <w:r>
        <w:rPr>
          <w:rFonts w:ascii="Times New Roman" w:hAnsi="Times New Roman" w:eastAsia="Times New Roman"/>
        </w:rPr>
        <w:t>“</w:t>
      </w:r>
      <w:r>
        <w:rPr/>
        <w:t>研究生自评总结</w:t>
      </w:r>
      <w:r>
        <w:rPr>
          <w:rFonts w:ascii="Times New Roman" w:hAnsi="Times New Roman" w:eastAsia="Times New Roman"/>
        </w:rPr>
        <w:t>”</w:t>
      </w:r>
      <w:r>
        <w:rPr/>
        <w:t>内容，向导师</w:t>
      </w:r>
      <w:r>
        <w:rPr>
          <w:w w:val="95"/>
        </w:rPr>
        <w:t>提交实践环节成绩单、获奖证书、发表论文、论文录用函、学</w:t>
      </w:r>
    </w:p>
    <w:p>
      <w:pPr>
        <w:spacing w:after="0" w:line="316" w:lineRule="auto"/>
        <w:jc w:val="both"/>
        <w:sectPr>
          <w:pgSz w:w="11910" w:h="16840"/>
          <w:pgMar w:header="0" w:footer="1274" w:top="1580" w:bottom="1460" w:left="1540" w:right="1380"/>
        </w:sectPr>
      </w:pPr>
    </w:p>
    <w:p>
      <w:pPr>
        <w:pStyle w:val="BodyText"/>
        <w:spacing w:before="11"/>
        <w:rPr>
          <w:sz w:val="8"/>
        </w:rPr>
      </w:pPr>
    </w:p>
    <w:p>
      <w:pPr>
        <w:pStyle w:val="BodyText"/>
        <w:spacing w:before="55"/>
        <w:ind w:left="104"/>
      </w:pPr>
      <w:r>
        <w:rPr/>
        <w:t>位论文进展报告等相关材料。</w:t>
      </w:r>
    </w:p>
    <w:p>
      <w:pPr>
        <w:pStyle w:val="BodyText"/>
        <w:spacing w:line="316" w:lineRule="auto" w:before="130"/>
        <w:ind w:left="104" w:right="103" w:firstLine="640"/>
        <w:jc w:val="both"/>
      </w:pPr>
      <w:r>
        <w:rPr/>
        <w:t>第十九条 导师审核材料，对研究生的思想政治素质、实践环节、论文进展及科研创新能力等情况进行综合评价，并就其是否具有从事科研工作能力和继续培养潜力提出明确建议， </w:t>
      </w:r>
      <w:r>
        <w:rPr>
          <w:w w:val="95"/>
        </w:rPr>
        <w:t>同时填写在《中南大学博士生（硕士生）中期考核表》相应栏。</w:t>
      </w:r>
    </w:p>
    <w:p>
      <w:pPr>
        <w:pStyle w:val="BodyText"/>
        <w:spacing w:line="405" w:lineRule="exact"/>
        <w:ind w:left="744"/>
        <w:jc w:val="both"/>
      </w:pPr>
      <w:r>
        <w:rPr/>
        <w:t>第二十条 中期考核参照开题报告要求组织实施。</w:t>
      </w:r>
    </w:p>
    <w:p>
      <w:pPr>
        <w:pStyle w:val="BodyText"/>
        <w:spacing w:line="316" w:lineRule="auto" w:before="130"/>
        <w:ind w:left="104" w:right="240" w:firstLine="640"/>
        <w:jc w:val="both"/>
      </w:pPr>
      <w:r>
        <w:rPr/>
        <w:t>第二十一条 因在国外或境外访问学习无法在校按期进行中期考核的研究生，须由本人写出书面申请，导师签署意见， </w:t>
      </w:r>
      <w:r>
        <w:rPr>
          <w:spacing w:val="-2"/>
        </w:rPr>
        <w:t>并经所在二级单位审核同意后，方可在国外或境外按期进行远</w:t>
      </w:r>
      <w:r>
        <w:rPr>
          <w:spacing w:val="11"/>
          <w:w w:val="95"/>
        </w:rPr>
        <w:t>程考核，或由考核小组对研究生的中期考核材料进行通讯评 </w:t>
      </w:r>
      <w:r>
        <w:rPr>
          <w:spacing w:val="11"/>
        </w:rPr>
        <w:t>议。</w:t>
      </w:r>
    </w:p>
    <w:p>
      <w:pPr>
        <w:pStyle w:val="BodyText"/>
        <w:tabs>
          <w:tab w:pos="2664" w:val="left" w:leader="none"/>
        </w:tabs>
        <w:spacing w:line="404" w:lineRule="exact"/>
        <w:ind w:left="744"/>
      </w:pPr>
      <w:r>
        <w:rPr>
          <w:w w:val="99"/>
        </w:rPr>
        <w:t>第</w:t>
      </w:r>
      <w:r>
        <w:rPr>
          <w:spacing w:val="2"/>
          <w:w w:val="99"/>
        </w:rPr>
        <w:t>二</w:t>
      </w:r>
      <w:r>
        <w:rPr>
          <w:w w:val="99"/>
        </w:rPr>
        <w:t>十二条</w:t>
      </w:r>
      <w:r>
        <w:rPr/>
        <w:tab/>
      </w:r>
      <w:r>
        <w:rPr>
          <w:w w:val="99"/>
        </w:rPr>
        <w:t>中</w:t>
      </w:r>
      <w:r>
        <w:rPr>
          <w:spacing w:val="2"/>
          <w:w w:val="99"/>
        </w:rPr>
        <w:t>期</w:t>
      </w:r>
      <w:r>
        <w:rPr>
          <w:w w:val="99"/>
        </w:rPr>
        <w:t>考核</w:t>
      </w:r>
      <w:r>
        <w:rPr>
          <w:spacing w:val="2"/>
          <w:w w:val="99"/>
        </w:rPr>
        <w:t>评</w:t>
      </w:r>
      <w:r>
        <w:rPr>
          <w:w w:val="99"/>
        </w:rPr>
        <w:t>审按</w:t>
      </w:r>
      <w:r>
        <w:rPr>
          <w:spacing w:val="2"/>
          <w:w w:val="99"/>
        </w:rPr>
        <w:t>优</w:t>
      </w:r>
      <w:r>
        <w:rPr>
          <w:spacing w:val="-36"/>
          <w:w w:val="99"/>
        </w:rPr>
        <w:t>秀</w:t>
      </w:r>
      <w:r>
        <w:rPr>
          <w:w w:val="99"/>
        </w:rPr>
        <w:t>（</w:t>
      </w:r>
      <w:r>
        <w:rPr>
          <w:rFonts w:ascii="Times New Roman" w:eastAsia="Times New Roman"/>
          <w:w w:val="99"/>
        </w:rPr>
        <w:t>A</w:t>
      </w:r>
      <w:r>
        <w:rPr>
          <w:spacing w:val="-161"/>
          <w:w w:val="99"/>
        </w:rPr>
        <w:t>）</w:t>
      </w:r>
      <w:r>
        <w:rPr>
          <w:spacing w:val="-36"/>
          <w:w w:val="99"/>
        </w:rPr>
        <w:t>、</w:t>
      </w:r>
      <w:r>
        <w:rPr>
          <w:w w:val="99"/>
        </w:rPr>
        <w:t>良</w:t>
      </w:r>
      <w:r>
        <w:rPr>
          <w:spacing w:val="-34"/>
          <w:w w:val="99"/>
        </w:rPr>
        <w:t>好</w:t>
      </w:r>
      <w:r>
        <w:rPr>
          <w:w w:val="99"/>
        </w:rPr>
        <w:t>（</w:t>
      </w:r>
      <w:r>
        <w:rPr>
          <w:rFonts w:ascii="Times New Roman" w:eastAsia="Times New Roman"/>
          <w:w w:val="99"/>
        </w:rPr>
        <w:t>B</w:t>
      </w:r>
      <w:r>
        <w:rPr>
          <w:spacing w:val="-159"/>
          <w:w w:val="99"/>
        </w:rPr>
        <w:t>）</w:t>
      </w:r>
      <w:r>
        <w:rPr>
          <w:spacing w:val="-36"/>
          <w:w w:val="99"/>
        </w:rPr>
        <w:t>、</w:t>
      </w:r>
      <w:r>
        <w:rPr>
          <w:w w:val="99"/>
        </w:rPr>
        <w:t>合格</w:t>
      </w:r>
    </w:p>
    <w:p>
      <w:pPr>
        <w:pStyle w:val="BodyText"/>
        <w:spacing w:before="130"/>
        <w:ind w:left="104"/>
      </w:pPr>
      <w:r>
        <w:rPr/>
        <w:t>（</w:t>
      </w:r>
      <w:r>
        <w:rPr>
          <w:rFonts w:ascii="Times New Roman" w:eastAsia="Times New Roman"/>
        </w:rPr>
        <w:t>C</w:t>
      </w:r>
      <w:r>
        <w:rPr/>
        <w:t>）和不合格（</w:t>
      </w:r>
      <w:r>
        <w:rPr>
          <w:rFonts w:ascii="Times New Roman" w:eastAsia="Times New Roman"/>
        </w:rPr>
        <w:t>D</w:t>
      </w:r>
      <w:r>
        <w:rPr/>
        <w:t>）四个等级评定成绩。</w:t>
      </w:r>
    </w:p>
    <w:p>
      <w:pPr>
        <w:pStyle w:val="BodyText"/>
        <w:spacing w:line="316" w:lineRule="auto" w:before="130"/>
        <w:ind w:left="104" w:right="262" w:firstLine="640"/>
        <w:jc w:val="both"/>
      </w:pPr>
      <w:r>
        <w:rPr/>
        <w:t>第二十三条 中期考核成绩为</w:t>
      </w:r>
      <w:r>
        <w:rPr>
          <w:rFonts w:ascii="Times New Roman" w:eastAsia="Times New Roman"/>
          <w:spacing w:val="3"/>
        </w:rPr>
        <w:t>B</w:t>
      </w:r>
      <w:r>
        <w:rPr/>
        <w:t>以上者应根据评审小组的</w:t>
      </w:r>
      <w:r>
        <w:rPr>
          <w:spacing w:val="-2"/>
        </w:rPr>
        <w:t>意见对下一步工作计划进行修改，并提交至导师审核确认。中</w:t>
      </w:r>
      <w:r>
        <w:rPr>
          <w:spacing w:val="2"/>
        </w:rPr>
        <w:t>期考核成绩为</w:t>
      </w:r>
      <w:r>
        <w:rPr>
          <w:rFonts w:ascii="Times New Roman" w:eastAsia="Times New Roman"/>
          <w:spacing w:val="3"/>
        </w:rPr>
        <w:t>C</w:t>
      </w:r>
      <w:r>
        <w:rPr>
          <w:spacing w:val="-1"/>
        </w:rPr>
        <w:t>的，二级单位应出具考核警告的书面通知，研</w:t>
      </w:r>
      <w:r>
        <w:rPr>
          <w:spacing w:val="-2"/>
        </w:rPr>
        <w:t>究生应根据评审小组提出具体建议要求，撰写整改报告，并提</w:t>
      </w:r>
      <w:r>
        <w:rPr/>
        <w:t>交至导师审核确认。中期考核成绩为</w:t>
      </w:r>
      <w:r>
        <w:rPr>
          <w:rFonts w:ascii="Times New Roman" w:eastAsia="Times New Roman"/>
        </w:rPr>
        <w:t>D</w:t>
      </w:r>
      <w:r>
        <w:rPr/>
        <w:t>即为未通过考核，未通</w:t>
      </w:r>
      <w:r>
        <w:rPr>
          <w:spacing w:val="-2"/>
        </w:rPr>
        <w:t>过者应重新进行中期考核，两次中期考核的时间间隔不少于</w:t>
      </w:r>
      <w:r>
        <w:rPr>
          <w:rFonts w:ascii="Times New Roman" w:eastAsia="Times New Roman"/>
        </w:rPr>
        <w:t>12 </w:t>
      </w:r>
      <w:r>
        <w:rPr>
          <w:spacing w:val="5"/>
          <w:w w:val="95"/>
        </w:rPr>
        <w:t>个月，博士生入学</w:t>
      </w:r>
      <w:r>
        <w:rPr>
          <w:rFonts w:ascii="Times New Roman" w:eastAsia="Times New Roman"/>
          <w:spacing w:val="6"/>
          <w:w w:val="95"/>
        </w:rPr>
        <w:t>6</w:t>
      </w:r>
      <w:r>
        <w:rPr>
          <w:spacing w:val="4"/>
          <w:w w:val="95"/>
        </w:rPr>
        <w:t>年内未通过者作退学处理。中期考核至学 </w:t>
      </w:r>
      <w:r>
        <w:rPr/>
        <w:t>位论文答辩时间至少</w:t>
      </w:r>
      <w:r>
        <w:rPr>
          <w:rFonts w:ascii="Times New Roman" w:eastAsia="Times New Roman"/>
        </w:rPr>
        <w:t>1</w:t>
      </w:r>
      <w:r>
        <w:rPr/>
        <w:t>年以上。</w:t>
      </w:r>
    </w:p>
    <w:p>
      <w:pPr>
        <w:pStyle w:val="BodyText"/>
        <w:tabs>
          <w:tab w:pos="1279" w:val="left" w:leader="none"/>
          <w:tab w:pos="1919" w:val="left" w:leader="none"/>
        </w:tabs>
        <w:spacing w:before="230"/>
        <w:ind w:right="157"/>
        <w:jc w:val="center"/>
        <w:rPr>
          <w:rFonts w:ascii="黑体" w:eastAsia="黑体" w:hint="eastAsia"/>
        </w:rPr>
      </w:pPr>
      <w:r>
        <w:rPr>
          <w:rFonts w:ascii="黑体" w:eastAsia="黑体" w:hint="eastAsia"/>
        </w:rPr>
        <w:t>第五章</w:t>
        <w:tab/>
        <w:t>其</w:t>
        <w:tab/>
        <w:t>他</w:t>
      </w:r>
    </w:p>
    <w:p>
      <w:pPr>
        <w:pStyle w:val="BodyText"/>
        <w:spacing w:before="11"/>
        <w:rPr>
          <w:rFonts w:ascii="黑体"/>
          <w:sz w:val="28"/>
        </w:rPr>
      </w:pPr>
    </w:p>
    <w:p>
      <w:pPr>
        <w:pStyle w:val="BodyText"/>
        <w:spacing w:line="316" w:lineRule="auto"/>
        <w:ind w:left="104" w:right="264" w:firstLine="640"/>
        <w:jc w:val="both"/>
      </w:pPr>
      <w:r>
        <w:rPr/>
        <w:t>第二十四条 研究生对考核结果有异议，可在考核结果公</w:t>
      </w:r>
      <w:r>
        <w:rPr>
          <w:w w:val="95"/>
        </w:rPr>
        <w:t>示结束之日起</w:t>
      </w:r>
      <w:r>
        <w:rPr>
          <w:rFonts w:ascii="Times New Roman" w:eastAsia="Times New Roman"/>
          <w:w w:val="95"/>
        </w:rPr>
        <w:t>15</w:t>
      </w:r>
      <w:r>
        <w:rPr>
          <w:w w:val="95"/>
        </w:rPr>
        <w:t>日内向所在培养单位提出复议申请，培养单位</w:t>
      </w:r>
    </w:p>
    <w:p>
      <w:pPr>
        <w:spacing w:before="121"/>
        <w:ind w:left="224" w:right="0" w:firstLine="0"/>
        <w:jc w:val="left"/>
        <w:rPr>
          <w:sz w:val="24"/>
        </w:rPr>
      </w:pPr>
      <w:r>
        <w:rPr>
          <w:sz w:val="24"/>
        </w:rPr>
        <w:t>-10-</w:t>
      </w:r>
    </w:p>
    <w:p>
      <w:pPr>
        <w:spacing w:after="0"/>
        <w:jc w:val="left"/>
        <w:rPr>
          <w:sz w:val="24"/>
        </w:rPr>
        <w:sectPr>
          <w:footerReference w:type="even" r:id="rId8"/>
          <w:pgSz w:w="11910" w:h="16840"/>
          <w:pgMar w:footer="0" w:header="0" w:top="1580" w:bottom="280" w:left="1540" w:right="1380"/>
        </w:sectPr>
      </w:pPr>
    </w:p>
    <w:p>
      <w:pPr>
        <w:pStyle w:val="BodyText"/>
        <w:spacing w:before="11"/>
        <w:rPr>
          <w:sz w:val="8"/>
        </w:rPr>
      </w:pPr>
    </w:p>
    <w:p>
      <w:pPr>
        <w:pStyle w:val="BodyText"/>
        <w:spacing w:line="316" w:lineRule="auto" w:before="55"/>
        <w:ind w:left="104" w:right="261"/>
        <w:jc w:val="both"/>
      </w:pPr>
      <w:r>
        <w:rPr>
          <w:spacing w:val="-3"/>
        </w:rPr>
        <w:t>受理并复核，同时根据复核的结果做出相应的处理。研究生对</w:t>
      </w:r>
      <w:r>
        <w:rPr>
          <w:spacing w:val="-5"/>
        </w:rPr>
        <w:t>复议决定有异议的，可继续向研究生院提出书面复议。研究生院组织相关专家对考核情况进行审核和评判。</w:t>
      </w:r>
    </w:p>
    <w:p>
      <w:pPr>
        <w:pStyle w:val="BodyText"/>
        <w:spacing w:line="316" w:lineRule="auto"/>
        <w:ind w:left="104" w:right="262" w:firstLine="640"/>
        <w:jc w:val="both"/>
      </w:pPr>
      <w:r>
        <w:rPr>
          <w:spacing w:val="-1"/>
        </w:rPr>
        <w:t>第二十五条 按期完成资格考试和开题报告的研究，若论</w:t>
      </w:r>
      <w:r>
        <w:rPr>
          <w:spacing w:val="-4"/>
          <w:w w:val="95"/>
        </w:rPr>
        <w:t>文工作进展顺利，达到提前毕业条件，经本人申请，研究生院 </w:t>
      </w:r>
      <w:r>
        <w:rPr>
          <w:spacing w:val="-6"/>
        </w:rPr>
        <w:t>同意，开题报告至中期考核及至论文答辩的时间间隔可适当放宽要求。</w:t>
      </w:r>
    </w:p>
    <w:p>
      <w:pPr>
        <w:pStyle w:val="BodyText"/>
        <w:tabs>
          <w:tab w:pos="2023" w:val="left" w:leader="none"/>
          <w:tab w:pos="2664" w:val="left" w:leader="none"/>
        </w:tabs>
        <w:spacing w:line="316" w:lineRule="auto"/>
        <w:ind w:left="104" w:right="240" w:firstLine="640"/>
        <w:jc w:val="right"/>
      </w:pPr>
      <w:r>
        <w:rPr/>
        <w:t>第二十六条</w:t>
        <w:tab/>
      </w:r>
      <w:r>
        <w:rPr>
          <w:w w:val="95"/>
        </w:rPr>
        <w:t>各二级单位可根据本办法</w:t>
      </w:r>
      <w:r>
        <w:rPr>
          <w:spacing w:val="-22"/>
          <w:w w:val="95"/>
        </w:rPr>
        <w:t>，</w:t>
      </w:r>
      <w:r>
        <w:rPr>
          <w:w w:val="95"/>
        </w:rPr>
        <w:t>制定本单位研究生培养环节具体实施细则，并在正式实施前报研究生院备案。 </w:t>
      </w:r>
      <w:r>
        <w:rPr/>
        <w:t>第二十七条</w:t>
        <w:tab/>
      </w:r>
      <w:r>
        <w:rPr>
          <w:w w:val="95"/>
        </w:rPr>
        <w:t>本办法自</w:t>
      </w:r>
      <w:r>
        <w:rPr>
          <w:rFonts w:ascii="Times New Roman" w:eastAsia="Times New Roman"/>
          <w:w w:val="95"/>
        </w:rPr>
        <w:t>2019</w:t>
      </w:r>
      <w:r>
        <w:rPr>
          <w:w w:val="95"/>
        </w:rPr>
        <w:t>级研究生开始执行</w:t>
      </w:r>
      <w:r>
        <w:rPr>
          <w:spacing w:val="-22"/>
          <w:w w:val="95"/>
        </w:rPr>
        <w:t>，</w:t>
      </w:r>
      <w:r>
        <w:rPr>
          <w:w w:val="95"/>
        </w:rPr>
        <w:t>由研究生</w:t>
      </w:r>
    </w:p>
    <w:p>
      <w:pPr>
        <w:pStyle w:val="BodyText"/>
        <w:spacing w:line="406" w:lineRule="exact"/>
        <w:ind w:left="104"/>
      </w:pPr>
      <w:r>
        <w:rPr/>
        <w:t>院负责日常解释。</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2"/>
        </w:rPr>
      </w:pPr>
      <w:r>
        <w:rPr/>
        <w:pict>
          <v:line style="position:absolute;mso-position-horizontal-relative:page;mso-position-vertical-relative:paragraph;z-index:-251657216;mso-wrap-distance-left:0;mso-wrap-distance-right:0" from="82.199997pt,10.455pt" to="513.099997pt,10.455pt" stroked="true" strokeweight=".84pt" strokecolor="#000000">
            <v:stroke dashstyle="solid"/>
            <w10:wrap type="topAndBottom"/>
          </v:line>
        </w:pict>
      </w:r>
    </w:p>
    <w:p>
      <w:pPr>
        <w:spacing w:before="107" w:after="87"/>
        <w:ind w:left="384" w:right="0" w:firstLine="0"/>
        <w:jc w:val="left"/>
        <w:rPr>
          <w:sz w:val="28"/>
        </w:rPr>
      </w:pPr>
      <w:r>
        <w:rPr>
          <w:sz w:val="28"/>
        </w:rPr>
        <w:t>抄送：各二级党组织、党群部门。</w:t>
      </w:r>
    </w:p>
    <w:p>
      <w:pPr>
        <w:pStyle w:val="BodyText"/>
        <w:spacing w:line="20" w:lineRule="exact"/>
        <w:ind w:left="95"/>
        <w:rPr>
          <w:sz w:val="2"/>
        </w:rPr>
      </w:pPr>
      <w:r>
        <w:rPr>
          <w:sz w:val="2"/>
        </w:rPr>
        <w:pict>
          <v:group style="width:430.9pt;height:.85pt;mso-position-horizontal-relative:char;mso-position-vertical-relative:line" coordorigin="0,0" coordsize="8618,17">
            <v:line style="position:absolute" from="0,8" to="8618,8" stroked="true" strokeweight=".84pt" strokecolor="#000000">
              <v:stroke dashstyle="solid"/>
            </v:line>
          </v:group>
        </w:pict>
      </w:r>
      <w:r>
        <w:rPr>
          <w:sz w:val="2"/>
        </w:rPr>
      </w:r>
    </w:p>
    <w:p>
      <w:pPr>
        <w:tabs>
          <w:tab w:pos="3603" w:val="left" w:leader="none"/>
          <w:tab w:pos="5703" w:val="left" w:leader="none"/>
        </w:tabs>
        <w:spacing w:before="87"/>
        <w:ind w:left="384" w:right="0" w:firstLine="0"/>
        <w:jc w:val="left"/>
        <w:rPr>
          <w:sz w:val="28"/>
        </w:rPr>
      </w:pPr>
      <w:r>
        <w:rPr/>
        <w:pict>
          <v:line style="position:absolute;mso-position-horizontal-relative:page;mso-position-vertical-relative:paragraph;z-index:-251655168;mso-wrap-distance-left:0;mso-wrap-distance-right:0" from="82.199997pt,28.359997pt" to="513.099997pt,28.359997pt" stroked="true" strokeweight=".84pt" strokecolor="#000000">
            <v:stroke dashstyle="solid"/>
            <w10:wrap type="topAndBottom"/>
          </v:line>
        </w:pict>
      </w:r>
      <w:r>
        <w:rPr>
          <w:sz w:val="28"/>
        </w:rPr>
        <w:t>中</w:t>
      </w:r>
      <w:r>
        <w:rPr>
          <w:spacing w:val="-3"/>
          <w:sz w:val="28"/>
        </w:rPr>
        <w:t>南</w:t>
      </w:r>
      <w:r>
        <w:rPr>
          <w:sz w:val="28"/>
        </w:rPr>
        <w:t>大学</w:t>
      </w:r>
      <w:r>
        <w:rPr>
          <w:spacing w:val="-3"/>
          <w:sz w:val="28"/>
        </w:rPr>
        <w:t>办</w:t>
      </w:r>
      <w:r>
        <w:rPr>
          <w:sz w:val="28"/>
        </w:rPr>
        <w:t>公室</w:t>
        <w:tab/>
        <w:t>主</w:t>
      </w:r>
      <w:r>
        <w:rPr>
          <w:spacing w:val="-3"/>
          <w:sz w:val="28"/>
        </w:rPr>
        <w:t>动</w:t>
      </w:r>
      <w:r>
        <w:rPr>
          <w:sz w:val="28"/>
        </w:rPr>
        <w:t>公开</w:t>
        <w:tab/>
      </w:r>
      <w:r>
        <w:rPr>
          <w:rFonts w:ascii="Times New Roman" w:eastAsia="Times New Roman"/>
          <w:sz w:val="28"/>
        </w:rPr>
        <w:t>2019 </w:t>
      </w:r>
      <w:r>
        <w:rPr>
          <w:sz w:val="28"/>
        </w:rPr>
        <w:t>年</w:t>
      </w:r>
      <w:r>
        <w:rPr>
          <w:spacing w:val="-71"/>
          <w:sz w:val="28"/>
        </w:rPr>
        <w:t> </w:t>
      </w:r>
      <w:r>
        <w:rPr>
          <w:rFonts w:ascii="Times New Roman" w:eastAsia="Times New Roman"/>
          <w:sz w:val="28"/>
        </w:rPr>
        <w:t>7</w:t>
      </w:r>
      <w:r>
        <w:rPr>
          <w:rFonts w:ascii="Times New Roman" w:eastAsia="Times New Roman"/>
          <w:spacing w:val="-1"/>
          <w:sz w:val="28"/>
        </w:rPr>
        <w:t> </w:t>
      </w:r>
      <w:r>
        <w:rPr>
          <w:sz w:val="28"/>
        </w:rPr>
        <w:t>月</w:t>
      </w:r>
      <w:r>
        <w:rPr>
          <w:spacing w:val="-71"/>
          <w:sz w:val="28"/>
        </w:rPr>
        <w:t> </w:t>
      </w:r>
      <w:r>
        <w:rPr>
          <w:rFonts w:ascii="Times New Roman" w:eastAsia="Times New Roman"/>
          <w:sz w:val="28"/>
        </w:rPr>
        <w:t>19</w:t>
      </w:r>
      <w:r>
        <w:rPr>
          <w:rFonts w:ascii="Times New Roman" w:eastAsia="Times New Roman"/>
          <w:spacing w:val="-1"/>
          <w:sz w:val="28"/>
        </w:rPr>
        <w:t> </w:t>
      </w:r>
      <w:r>
        <w:rPr>
          <w:sz w:val="28"/>
        </w:rPr>
        <w:t>日</w:t>
      </w:r>
      <w:r>
        <w:rPr>
          <w:spacing w:val="-3"/>
          <w:sz w:val="28"/>
        </w:rPr>
        <w:t>印</w:t>
      </w:r>
      <w:r>
        <w:rPr>
          <w:sz w:val="28"/>
        </w:rPr>
        <w:t>发</w:t>
      </w:r>
    </w:p>
    <w:p>
      <w:pPr>
        <w:pStyle w:val="BodyText"/>
        <w:spacing w:before="1"/>
        <w:rPr>
          <w:sz w:val="8"/>
        </w:rPr>
      </w:pPr>
    </w:p>
    <w:p>
      <w:pPr>
        <w:spacing w:before="66"/>
        <w:ind w:left="0" w:right="261" w:firstLine="0"/>
        <w:jc w:val="right"/>
        <w:rPr>
          <w:sz w:val="24"/>
        </w:rPr>
      </w:pPr>
      <w:r>
        <w:rPr>
          <w:sz w:val="24"/>
        </w:rPr>
        <w:t>-11-</w:t>
      </w:r>
    </w:p>
    <w:sectPr>
      <w:footerReference w:type="default" r:id="rId9"/>
      <w:pgSz w:w="11910" w:h="16840"/>
      <w:pgMar w:footer="0" w:header="0" w:top="1580" w:bottom="280" w:left="154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黑体">
    <w:altName w:val="黑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4.119995pt;margin-top:767.177551pt;width:20pt;height:14pt;mso-position-horizontal-relative:page;mso-position-vertical-relative:page;z-index:-251909120" type="#_x0000_t202" filled="false" stroked="false">
          <v:textbox inset="0,0,0,0">
            <w:txbxContent>
              <w:p>
                <w:pPr>
                  <w:spacing w:line="280" w:lineRule="exact" w:before="0"/>
                  <w:ind w:left="20" w:right="0" w:firstLine="0"/>
                  <w:jc w:val="left"/>
                  <w:rPr>
                    <w:sz w:val="24"/>
                  </w:rPr>
                </w:pPr>
                <w:r>
                  <w:rPr>
                    <w:sz w:val="24"/>
                  </w:rPr>
                  <w:t>-</w:t>
                </w:r>
                <w:r>
                  <w:rPr/>
                  <w:fldChar w:fldCharType="begin"/>
                </w:r>
                <w:r>
                  <w:rPr>
                    <w:sz w:val="24"/>
                  </w:rPr>
                  <w:instrText> PAGE </w:instrText>
                </w:r>
                <w:r>
                  <w:rPr/>
                  <w:fldChar w:fldCharType="separate"/>
                </w:r>
                <w:r>
                  <w:rPr/>
                  <w:t>1</w:t>
                </w:r>
                <w:r>
                  <w:rPr/>
                  <w:fldChar w:fldCharType="end"/>
                </w:r>
                <w:r>
                  <w:rPr>
                    <w:sz w:val="24"/>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7.199997pt;margin-top:767.177551pt;width:20pt;height:14pt;mso-position-horizontal-relative:page;mso-position-vertical-relative:page;z-index:-251908096" type="#_x0000_t202" filled="false" stroked="false">
          <v:textbox inset="0,0,0,0">
            <w:txbxContent>
              <w:p>
                <w:pPr>
                  <w:spacing w:line="280" w:lineRule="exact" w:before="0"/>
                  <w:ind w:left="20" w:right="0" w:firstLine="0"/>
                  <w:jc w:val="left"/>
                  <w:rPr>
                    <w:sz w:val="24"/>
                  </w:rPr>
                </w:pPr>
                <w:r>
                  <w:rPr>
                    <w:sz w:val="24"/>
                  </w:rPr>
                  <w:t>-</w:t>
                </w:r>
                <w:r>
                  <w:rPr/>
                  <w:fldChar w:fldCharType="begin"/>
                </w:r>
                <w:r>
                  <w:rPr>
                    <w:sz w:val="24"/>
                  </w:rPr>
                  <w:instrText> PAGE </w:instrText>
                </w:r>
                <w:r>
                  <w:rPr/>
                  <w:fldChar w:fldCharType="separate"/>
                </w:r>
                <w:r>
                  <w:rPr/>
                  <w:t>2</w:t>
                </w:r>
                <w:r>
                  <w:rPr/>
                  <w:fldChar w:fldCharType="end"/>
                </w:r>
                <w:r>
                  <w:rPr>
                    <w:sz w:val="24"/>
                  </w:rPr>
                  <w: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2"/>
      <w:numFmt w:val="decimal"/>
      <w:lvlText w:val="%1."/>
      <w:lvlJc w:val="left"/>
      <w:pPr>
        <w:ind w:left="104"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988" w:hanging="242"/>
      </w:pPr>
      <w:rPr>
        <w:rFonts w:hint="default"/>
        <w:lang w:val="zh-CN" w:eastAsia="zh-CN" w:bidi="zh-CN"/>
      </w:rPr>
    </w:lvl>
    <w:lvl w:ilvl="2">
      <w:start w:val="0"/>
      <w:numFmt w:val="bullet"/>
      <w:lvlText w:val="•"/>
      <w:lvlJc w:val="left"/>
      <w:pPr>
        <w:ind w:left="1877" w:hanging="242"/>
      </w:pPr>
      <w:rPr>
        <w:rFonts w:hint="default"/>
        <w:lang w:val="zh-CN" w:eastAsia="zh-CN" w:bidi="zh-CN"/>
      </w:rPr>
    </w:lvl>
    <w:lvl w:ilvl="3">
      <w:start w:val="0"/>
      <w:numFmt w:val="bullet"/>
      <w:lvlText w:val="•"/>
      <w:lvlJc w:val="left"/>
      <w:pPr>
        <w:ind w:left="2765" w:hanging="242"/>
      </w:pPr>
      <w:rPr>
        <w:rFonts w:hint="default"/>
        <w:lang w:val="zh-CN" w:eastAsia="zh-CN" w:bidi="zh-CN"/>
      </w:rPr>
    </w:lvl>
    <w:lvl w:ilvl="4">
      <w:start w:val="0"/>
      <w:numFmt w:val="bullet"/>
      <w:lvlText w:val="•"/>
      <w:lvlJc w:val="left"/>
      <w:pPr>
        <w:ind w:left="3654" w:hanging="242"/>
      </w:pPr>
      <w:rPr>
        <w:rFonts w:hint="default"/>
        <w:lang w:val="zh-CN" w:eastAsia="zh-CN" w:bidi="zh-CN"/>
      </w:rPr>
    </w:lvl>
    <w:lvl w:ilvl="5">
      <w:start w:val="0"/>
      <w:numFmt w:val="bullet"/>
      <w:lvlText w:val="•"/>
      <w:lvlJc w:val="left"/>
      <w:pPr>
        <w:ind w:left="4543" w:hanging="242"/>
      </w:pPr>
      <w:rPr>
        <w:rFonts w:hint="default"/>
        <w:lang w:val="zh-CN" w:eastAsia="zh-CN" w:bidi="zh-CN"/>
      </w:rPr>
    </w:lvl>
    <w:lvl w:ilvl="6">
      <w:start w:val="0"/>
      <w:numFmt w:val="bullet"/>
      <w:lvlText w:val="•"/>
      <w:lvlJc w:val="left"/>
      <w:pPr>
        <w:ind w:left="5431" w:hanging="242"/>
      </w:pPr>
      <w:rPr>
        <w:rFonts w:hint="default"/>
        <w:lang w:val="zh-CN" w:eastAsia="zh-CN" w:bidi="zh-CN"/>
      </w:rPr>
    </w:lvl>
    <w:lvl w:ilvl="7">
      <w:start w:val="0"/>
      <w:numFmt w:val="bullet"/>
      <w:lvlText w:val="•"/>
      <w:lvlJc w:val="left"/>
      <w:pPr>
        <w:ind w:left="6320" w:hanging="242"/>
      </w:pPr>
      <w:rPr>
        <w:rFonts w:hint="default"/>
        <w:lang w:val="zh-CN" w:eastAsia="zh-CN" w:bidi="zh-CN"/>
      </w:rPr>
    </w:lvl>
    <w:lvl w:ilvl="8">
      <w:start w:val="0"/>
      <w:numFmt w:val="bullet"/>
      <w:lvlText w:val="•"/>
      <w:lvlJc w:val="left"/>
      <w:pPr>
        <w:ind w:left="7208" w:hanging="242"/>
      </w:pPr>
      <w:rPr>
        <w:rFonts w:hint="default"/>
        <w:lang w:val="zh-CN" w:eastAsia="zh-CN" w:bidi="zh-CN"/>
      </w:rPr>
    </w:lvl>
  </w:abstractNum>
  <w:abstractNum w:abstractNumId="9">
    <w:multiLevelType w:val="hybridMultilevel"/>
    <w:lvl w:ilvl="0">
      <w:start w:val="1"/>
      <w:numFmt w:val="decimal"/>
      <w:lvlText w:val="%1."/>
      <w:lvlJc w:val="left"/>
      <w:pPr>
        <w:ind w:left="986"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780" w:hanging="242"/>
      </w:pPr>
      <w:rPr>
        <w:rFonts w:hint="default"/>
        <w:lang w:val="zh-CN" w:eastAsia="zh-CN" w:bidi="zh-CN"/>
      </w:rPr>
    </w:lvl>
    <w:lvl w:ilvl="2">
      <w:start w:val="0"/>
      <w:numFmt w:val="bullet"/>
      <w:lvlText w:val="•"/>
      <w:lvlJc w:val="left"/>
      <w:pPr>
        <w:ind w:left="2581" w:hanging="242"/>
      </w:pPr>
      <w:rPr>
        <w:rFonts w:hint="default"/>
        <w:lang w:val="zh-CN" w:eastAsia="zh-CN" w:bidi="zh-CN"/>
      </w:rPr>
    </w:lvl>
    <w:lvl w:ilvl="3">
      <w:start w:val="0"/>
      <w:numFmt w:val="bullet"/>
      <w:lvlText w:val="•"/>
      <w:lvlJc w:val="left"/>
      <w:pPr>
        <w:ind w:left="3381" w:hanging="242"/>
      </w:pPr>
      <w:rPr>
        <w:rFonts w:hint="default"/>
        <w:lang w:val="zh-CN" w:eastAsia="zh-CN" w:bidi="zh-CN"/>
      </w:rPr>
    </w:lvl>
    <w:lvl w:ilvl="4">
      <w:start w:val="0"/>
      <w:numFmt w:val="bullet"/>
      <w:lvlText w:val="•"/>
      <w:lvlJc w:val="left"/>
      <w:pPr>
        <w:ind w:left="4182" w:hanging="242"/>
      </w:pPr>
      <w:rPr>
        <w:rFonts w:hint="default"/>
        <w:lang w:val="zh-CN" w:eastAsia="zh-CN" w:bidi="zh-CN"/>
      </w:rPr>
    </w:lvl>
    <w:lvl w:ilvl="5">
      <w:start w:val="0"/>
      <w:numFmt w:val="bullet"/>
      <w:lvlText w:val="•"/>
      <w:lvlJc w:val="left"/>
      <w:pPr>
        <w:ind w:left="4983" w:hanging="242"/>
      </w:pPr>
      <w:rPr>
        <w:rFonts w:hint="default"/>
        <w:lang w:val="zh-CN" w:eastAsia="zh-CN" w:bidi="zh-CN"/>
      </w:rPr>
    </w:lvl>
    <w:lvl w:ilvl="6">
      <w:start w:val="0"/>
      <w:numFmt w:val="bullet"/>
      <w:lvlText w:val="•"/>
      <w:lvlJc w:val="left"/>
      <w:pPr>
        <w:ind w:left="5783" w:hanging="242"/>
      </w:pPr>
      <w:rPr>
        <w:rFonts w:hint="default"/>
        <w:lang w:val="zh-CN" w:eastAsia="zh-CN" w:bidi="zh-CN"/>
      </w:rPr>
    </w:lvl>
    <w:lvl w:ilvl="7">
      <w:start w:val="0"/>
      <w:numFmt w:val="bullet"/>
      <w:lvlText w:val="•"/>
      <w:lvlJc w:val="left"/>
      <w:pPr>
        <w:ind w:left="6584" w:hanging="242"/>
      </w:pPr>
      <w:rPr>
        <w:rFonts w:hint="default"/>
        <w:lang w:val="zh-CN" w:eastAsia="zh-CN" w:bidi="zh-CN"/>
      </w:rPr>
    </w:lvl>
    <w:lvl w:ilvl="8">
      <w:start w:val="0"/>
      <w:numFmt w:val="bullet"/>
      <w:lvlText w:val="•"/>
      <w:lvlJc w:val="left"/>
      <w:pPr>
        <w:ind w:left="7384" w:hanging="242"/>
      </w:pPr>
      <w:rPr>
        <w:rFonts w:hint="default"/>
        <w:lang w:val="zh-CN" w:eastAsia="zh-CN" w:bidi="zh-CN"/>
      </w:rPr>
    </w:lvl>
  </w:abstractNum>
  <w:abstractNum w:abstractNumId="8">
    <w:multiLevelType w:val="hybridMultilevel"/>
    <w:lvl w:ilvl="0">
      <w:start w:val="1"/>
      <w:numFmt w:val="decimal"/>
      <w:lvlText w:val="%1."/>
      <w:lvlJc w:val="left"/>
      <w:pPr>
        <w:ind w:left="104"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988" w:hanging="242"/>
      </w:pPr>
      <w:rPr>
        <w:rFonts w:hint="default"/>
        <w:lang w:val="zh-CN" w:eastAsia="zh-CN" w:bidi="zh-CN"/>
      </w:rPr>
    </w:lvl>
    <w:lvl w:ilvl="2">
      <w:start w:val="0"/>
      <w:numFmt w:val="bullet"/>
      <w:lvlText w:val="•"/>
      <w:lvlJc w:val="left"/>
      <w:pPr>
        <w:ind w:left="1877" w:hanging="242"/>
      </w:pPr>
      <w:rPr>
        <w:rFonts w:hint="default"/>
        <w:lang w:val="zh-CN" w:eastAsia="zh-CN" w:bidi="zh-CN"/>
      </w:rPr>
    </w:lvl>
    <w:lvl w:ilvl="3">
      <w:start w:val="0"/>
      <w:numFmt w:val="bullet"/>
      <w:lvlText w:val="•"/>
      <w:lvlJc w:val="left"/>
      <w:pPr>
        <w:ind w:left="2765" w:hanging="242"/>
      </w:pPr>
      <w:rPr>
        <w:rFonts w:hint="default"/>
        <w:lang w:val="zh-CN" w:eastAsia="zh-CN" w:bidi="zh-CN"/>
      </w:rPr>
    </w:lvl>
    <w:lvl w:ilvl="4">
      <w:start w:val="0"/>
      <w:numFmt w:val="bullet"/>
      <w:lvlText w:val="•"/>
      <w:lvlJc w:val="left"/>
      <w:pPr>
        <w:ind w:left="3654" w:hanging="242"/>
      </w:pPr>
      <w:rPr>
        <w:rFonts w:hint="default"/>
        <w:lang w:val="zh-CN" w:eastAsia="zh-CN" w:bidi="zh-CN"/>
      </w:rPr>
    </w:lvl>
    <w:lvl w:ilvl="5">
      <w:start w:val="0"/>
      <w:numFmt w:val="bullet"/>
      <w:lvlText w:val="•"/>
      <w:lvlJc w:val="left"/>
      <w:pPr>
        <w:ind w:left="4543" w:hanging="242"/>
      </w:pPr>
      <w:rPr>
        <w:rFonts w:hint="default"/>
        <w:lang w:val="zh-CN" w:eastAsia="zh-CN" w:bidi="zh-CN"/>
      </w:rPr>
    </w:lvl>
    <w:lvl w:ilvl="6">
      <w:start w:val="0"/>
      <w:numFmt w:val="bullet"/>
      <w:lvlText w:val="•"/>
      <w:lvlJc w:val="left"/>
      <w:pPr>
        <w:ind w:left="5431" w:hanging="242"/>
      </w:pPr>
      <w:rPr>
        <w:rFonts w:hint="default"/>
        <w:lang w:val="zh-CN" w:eastAsia="zh-CN" w:bidi="zh-CN"/>
      </w:rPr>
    </w:lvl>
    <w:lvl w:ilvl="7">
      <w:start w:val="0"/>
      <w:numFmt w:val="bullet"/>
      <w:lvlText w:val="•"/>
      <w:lvlJc w:val="left"/>
      <w:pPr>
        <w:ind w:left="6320" w:hanging="242"/>
      </w:pPr>
      <w:rPr>
        <w:rFonts w:hint="default"/>
        <w:lang w:val="zh-CN" w:eastAsia="zh-CN" w:bidi="zh-CN"/>
      </w:rPr>
    </w:lvl>
    <w:lvl w:ilvl="8">
      <w:start w:val="0"/>
      <w:numFmt w:val="bullet"/>
      <w:lvlText w:val="•"/>
      <w:lvlJc w:val="left"/>
      <w:pPr>
        <w:ind w:left="7208" w:hanging="242"/>
      </w:pPr>
      <w:rPr>
        <w:rFonts w:hint="default"/>
        <w:lang w:val="zh-CN" w:eastAsia="zh-CN" w:bidi="zh-CN"/>
      </w:rPr>
    </w:lvl>
  </w:abstractNum>
  <w:abstractNum w:abstractNumId="7">
    <w:multiLevelType w:val="hybridMultilevel"/>
    <w:lvl w:ilvl="0">
      <w:start w:val="1"/>
      <w:numFmt w:val="decimal"/>
      <w:lvlText w:val="%1."/>
      <w:lvlJc w:val="left"/>
      <w:pPr>
        <w:ind w:left="104"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988" w:hanging="242"/>
      </w:pPr>
      <w:rPr>
        <w:rFonts w:hint="default"/>
        <w:lang w:val="zh-CN" w:eastAsia="zh-CN" w:bidi="zh-CN"/>
      </w:rPr>
    </w:lvl>
    <w:lvl w:ilvl="2">
      <w:start w:val="0"/>
      <w:numFmt w:val="bullet"/>
      <w:lvlText w:val="•"/>
      <w:lvlJc w:val="left"/>
      <w:pPr>
        <w:ind w:left="1877" w:hanging="242"/>
      </w:pPr>
      <w:rPr>
        <w:rFonts w:hint="default"/>
        <w:lang w:val="zh-CN" w:eastAsia="zh-CN" w:bidi="zh-CN"/>
      </w:rPr>
    </w:lvl>
    <w:lvl w:ilvl="3">
      <w:start w:val="0"/>
      <w:numFmt w:val="bullet"/>
      <w:lvlText w:val="•"/>
      <w:lvlJc w:val="left"/>
      <w:pPr>
        <w:ind w:left="2765" w:hanging="242"/>
      </w:pPr>
      <w:rPr>
        <w:rFonts w:hint="default"/>
        <w:lang w:val="zh-CN" w:eastAsia="zh-CN" w:bidi="zh-CN"/>
      </w:rPr>
    </w:lvl>
    <w:lvl w:ilvl="4">
      <w:start w:val="0"/>
      <w:numFmt w:val="bullet"/>
      <w:lvlText w:val="•"/>
      <w:lvlJc w:val="left"/>
      <w:pPr>
        <w:ind w:left="3654" w:hanging="242"/>
      </w:pPr>
      <w:rPr>
        <w:rFonts w:hint="default"/>
        <w:lang w:val="zh-CN" w:eastAsia="zh-CN" w:bidi="zh-CN"/>
      </w:rPr>
    </w:lvl>
    <w:lvl w:ilvl="5">
      <w:start w:val="0"/>
      <w:numFmt w:val="bullet"/>
      <w:lvlText w:val="•"/>
      <w:lvlJc w:val="left"/>
      <w:pPr>
        <w:ind w:left="4543" w:hanging="242"/>
      </w:pPr>
      <w:rPr>
        <w:rFonts w:hint="default"/>
        <w:lang w:val="zh-CN" w:eastAsia="zh-CN" w:bidi="zh-CN"/>
      </w:rPr>
    </w:lvl>
    <w:lvl w:ilvl="6">
      <w:start w:val="0"/>
      <w:numFmt w:val="bullet"/>
      <w:lvlText w:val="•"/>
      <w:lvlJc w:val="left"/>
      <w:pPr>
        <w:ind w:left="5431" w:hanging="242"/>
      </w:pPr>
      <w:rPr>
        <w:rFonts w:hint="default"/>
        <w:lang w:val="zh-CN" w:eastAsia="zh-CN" w:bidi="zh-CN"/>
      </w:rPr>
    </w:lvl>
    <w:lvl w:ilvl="7">
      <w:start w:val="0"/>
      <w:numFmt w:val="bullet"/>
      <w:lvlText w:val="•"/>
      <w:lvlJc w:val="left"/>
      <w:pPr>
        <w:ind w:left="6320" w:hanging="242"/>
      </w:pPr>
      <w:rPr>
        <w:rFonts w:hint="default"/>
        <w:lang w:val="zh-CN" w:eastAsia="zh-CN" w:bidi="zh-CN"/>
      </w:rPr>
    </w:lvl>
    <w:lvl w:ilvl="8">
      <w:start w:val="0"/>
      <w:numFmt w:val="bullet"/>
      <w:lvlText w:val="•"/>
      <w:lvlJc w:val="left"/>
      <w:pPr>
        <w:ind w:left="7208" w:hanging="242"/>
      </w:pPr>
      <w:rPr>
        <w:rFonts w:hint="default"/>
        <w:lang w:val="zh-CN" w:eastAsia="zh-CN" w:bidi="zh-CN"/>
      </w:rPr>
    </w:lvl>
  </w:abstractNum>
  <w:abstractNum w:abstractNumId="6">
    <w:multiLevelType w:val="hybridMultilevel"/>
    <w:lvl w:ilvl="0">
      <w:start w:val="1"/>
      <w:numFmt w:val="decimal"/>
      <w:lvlText w:val="%1."/>
      <w:lvlJc w:val="left"/>
      <w:pPr>
        <w:ind w:left="104"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988" w:hanging="242"/>
      </w:pPr>
      <w:rPr>
        <w:rFonts w:hint="default"/>
        <w:lang w:val="zh-CN" w:eastAsia="zh-CN" w:bidi="zh-CN"/>
      </w:rPr>
    </w:lvl>
    <w:lvl w:ilvl="2">
      <w:start w:val="0"/>
      <w:numFmt w:val="bullet"/>
      <w:lvlText w:val="•"/>
      <w:lvlJc w:val="left"/>
      <w:pPr>
        <w:ind w:left="1877" w:hanging="242"/>
      </w:pPr>
      <w:rPr>
        <w:rFonts w:hint="default"/>
        <w:lang w:val="zh-CN" w:eastAsia="zh-CN" w:bidi="zh-CN"/>
      </w:rPr>
    </w:lvl>
    <w:lvl w:ilvl="3">
      <w:start w:val="0"/>
      <w:numFmt w:val="bullet"/>
      <w:lvlText w:val="•"/>
      <w:lvlJc w:val="left"/>
      <w:pPr>
        <w:ind w:left="2765" w:hanging="242"/>
      </w:pPr>
      <w:rPr>
        <w:rFonts w:hint="default"/>
        <w:lang w:val="zh-CN" w:eastAsia="zh-CN" w:bidi="zh-CN"/>
      </w:rPr>
    </w:lvl>
    <w:lvl w:ilvl="4">
      <w:start w:val="0"/>
      <w:numFmt w:val="bullet"/>
      <w:lvlText w:val="•"/>
      <w:lvlJc w:val="left"/>
      <w:pPr>
        <w:ind w:left="3654" w:hanging="242"/>
      </w:pPr>
      <w:rPr>
        <w:rFonts w:hint="default"/>
        <w:lang w:val="zh-CN" w:eastAsia="zh-CN" w:bidi="zh-CN"/>
      </w:rPr>
    </w:lvl>
    <w:lvl w:ilvl="5">
      <w:start w:val="0"/>
      <w:numFmt w:val="bullet"/>
      <w:lvlText w:val="•"/>
      <w:lvlJc w:val="left"/>
      <w:pPr>
        <w:ind w:left="4543" w:hanging="242"/>
      </w:pPr>
      <w:rPr>
        <w:rFonts w:hint="default"/>
        <w:lang w:val="zh-CN" w:eastAsia="zh-CN" w:bidi="zh-CN"/>
      </w:rPr>
    </w:lvl>
    <w:lvl w:ilvl="6">
      <w:start w:val="0"/>
      <w:numFmt w:val="bullet"/>
      <w:lvlText w:val="•"/>
      <w:lvlJc w:val="left"/>
      <w:pPr>
        <w:ind w:left="5431" w:hanging="242"/>
      </w:pPr>
      <w:rPr>
        <w:rFonts w:hint="default"/>
        <w:lang w:val="zh-CN" w:eastAsia="zh-CN" w:bidi="zh-CN"/>
      </w:rPr>
    </w:lvl>
    <w:lvl w:ilvl="7">
      <w:start w:val="0"/>
      <w:numFmt w:val="bullet"/>
      <w:lvlText w:val="•"/>
      <w:lvlJc w:val="left"/>
      <w:pPr>
        <w:ind w:left="6320" w:hanging="242"/>
      </w:pPr>
      <w:rPr>
        <w:rFonts w:hint="default"/>
        <w:lang w:val="zh-CN" w:eastAsia="zh-CN" w:bidi="zh-CN"/>
      </w:rPr>
    </w:lvl>
    <w:lvl w:ilvl="8">
      <w:start w:val="0"/>
      <w:numFmt w:val="bullet"/>
      <w:lvlText w:val="•"/>
      <w:lvlJc w:val="left"/>
      <w:pPr>
        <w:ind w:left="7208" w:hanging="242"/>
      </w:pPr>
      <w:rPr>
        <w:rFonts w:hint="default"/>
        <w:lang w:val="zh-CN" w:eastAsia="zh-CN" w:bidi="zh-CN"/>
      </w:rPr>
    </w:lvl>
  </w:abstractNum>
  <w:abstractNum w:abstractNumId="5">
    <w:multiLevelType w:val="hybridMultilevel"/>
    <w:lvl w:ilvl="0">
      <w:start w:val="1"/>
      <w:numFmt w:val="decimal"/>
      <w:lvlText w:val="%1."/>
      <w:lvlJc w:val="left"/>
      <w:pPr>
        <w:ind w:left="104"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988" w:hanging="242"/>
      </w:pPr>
      <w:rPr>
        <w:rFonts w:hint="default"/>
        <w:lang w:val="zh-CN" w:eastAsia="zh-CN" w:bidi="zh-CN"/>
      </w:rPr>
    </w:lvl>
    <w:lvl w:ilvl="2">
      <w:start w:val="0"/>
      <w:numFmt w:val="bullet"/>
      <w:lvlText w:val="•"/>
      <w:lvlJc w:val="left"/>
      <w:pPr>
        <w:ind w:left="1877" w:hanging="242"/>
      </w:pPr>
      <w:rPr>
        <w:rFonts w:hint="default"/>
        <w:lang w:val="zh-CN" w:eastAsia="zh-CN" w:bidi="zh-CN"/>
      </w:rPr>
    </w:lvl>
    <w:lvl w:ilvl="3">
      <w:start w:val="0"/>
      <w:numFmt w:val="bullet"/>
      <w:lvlText w:val="•"/>
      <w:lvlJc w:val="left"/>
      <w:pPr>
        <w:ind w:left="2765" w:hanging="242"/>
      </w:pPr>
      <w:rPr>
        <w:rFonts w:hint="default"/>
        <w:lang w:val="zh-CN" w:eastAsia="zh-CN" w:bidi="zh-CN"/>
      </w:rPr>
    </w:lvl>
    <w:lvl w:ilvl="4">
      <w:start w:val="0"/>
      <w:numFmt w:val="bullet"/>
      <w:lvlText w:val="•"/>
      <w:lvlJc w:val="left"/>
      <w:pPr>
        <w:ind w:left="3654" w:hanging="242"/>
      </w:pPr>
      <w:rPr>
        <w:rFonts w:hint="default"/>
        <w:lang w:val="zh-CN" w:eastAsia="zh-CN" w:bidi="zh-CN"/>
      </w:rPr>
    </w:lvl>
    <w:lvl w:ilvl="5">
      <w:start w:val="0"/>
      <w:numFmt w:val="bullet"/>
      <w:lvlText w:val="•"/>
      <w:lvlJc w:val="left"/>
      <w:pPr>
        <w:ind w:left="4543" w:hanging="242"/>
      </w:pPr>
      <w:rPr>
        <w:rFonts w:hint="default"/>
        <w:lang w:val="zh-CN" w:eastAsia="zh-CN" w:bidi="zh-CN"/>
      </w:rPr>
    </w:lvl>
    <w:lvl w:ilvl="6">
      <w:start w:val="0"/>
      <w:numFmt w:val="bullet"/>
      <w:lvlText w:val="•"/>
      <w:lvlJc w:val="left"/>
      <w:pPr>
        <w:ind w:left="5431" w:hanging="242"/>
      </w:pPr>
      <w:rPr>
        <w:rFonts w:hint="default"/>
        <w:lang w:val="zh-CN" w:eastAsia="zh-CN" w:bidi="zh-CN"/>
      </w:rPr>
    </w:lvl>
    <w:lvl w:ilvl="7">
      <w:start w:val="0"/>
      <w:numFmt w:val="bullet"/>
      <w:lvlText w:val="•"/>
      <w:lvlJc w:val="left"/>
      <w:pPr>
        <w:ind w:left="6320" w:hanging="242"/>
      </w:pPr>
      <w:rPr>
        <w:rFonts w:hint="default"/>
        <w:lang w:val="zh-CN" w:eastAsia="zh-CN" w:bidi="zh-CN"/>
      </w:rPr>
    </w:lvl>
    <w:lvl w:ilvl="8">
      <w:start w:val="0"/>
      <w:numFmt w:val="bullet"/>
      <w:lvlText w:val="•"/>
      <w:lvlJc w:val="left"/>
      <w:pPr>
        <w:ind w:left="7208" w:hanging="242"/>
      </w:pPr>
      <w:rPr>
        <w:rFonts w:hint="default"/>
        <w:lang w:val="zh-CN" w:eastAsia="zh-CN" w:bidi="zh-CN"/>
      </w:rPr>
    </w:lvl>
  </w:abstractNum>
  <w:abstractNum w:abstractNumId="4">
    <w:multiLevelType w:val="hybridMultilevel"/>
    <w:lvl w:ilvl="0">
      <w:start w:val="2"/>
      <w:numFmt w:val="decimal"/>
      <w:lvlText w:val="（%1）"/>
      <w:lvlJc w:val="left"/>
      <w:pPr>
        <w:ind w:left="1384" w:hanging="800"/>
        <w:jc w:val="left"/>
      </w:pPr>
      <w:rPr>
        <w:rFonts w:hint="default" w:ascii="宋体" w:hAnsi="宋体" w:eastAsia="宋体" w:cs="宋体"/>
        <w:w w:val="99"/>
        <w:sz w:val="30"/>
        <w:szCs w:val="30"/>
        <w:lang w:val="zh-CN" w:eastAsia="zh-CN" w:bidi="zh-CN"/>
      </w:rPr>
    </w:lvl>
    <w:lvl w:ilvl="1">
      <w:start w:val="1"/>
      <w:numFmt w:val="decimal"/>
      <w:lvlText w:val="%2."/>
      <w:lvlJc w:val="left"/>
      <w:pPr>
        <w:ind w:left="104" w:hanging="242"/>
        <w:jc w:val="left"/>
      </w:pPr>
      <w:rPr>
        <w:rFonts w:hint="default" w:ascii="Times New Roman" w:hAnsi="Times New Roman" w:eastAsia="Times New Roman" w:cs="Times New Roman"/>
        <w:spacing w:val="-1"/>
        <w:w w:val="99"/>
        <w:sz w:val="30"/>
        <w:szCs w:val="30"/>
        <w:lang w:val="zh-CN" w:eastAsia="zh-CN" w:bidi="zh-CN"/>
      </w:rPr>
    </w:lvl>
    <w:lvl w:ilvl="2">
      <w:start w:val="0"/>
      <w:numFmt w:val="bullet"/>
      <w:lvlText w:val="•"/>
      <w:lvlJc w:val="left"/>
      <w:pPr>
        <w:ind w:left="2225" w:hanging="242"/>
      </w:pPr>
      <w:rPr>
        <w:rFonts w:hint="default"/>
        <w:lang w:val="zh-CN" w:eastAsia="zh-CN" w:bidi="zh-CN"/>
      </w:rPr>
    </w:lvl>
    <w:lvl w:ilvl="3">
      <w:start w:val="0"/>
      <w:numFmt w:val="bullet"/>
      <w:lvlText w:val="•"/>
      <w:lvlJc w:val="left"/>
      <w:pPr>
        <w:ind w:left="3070" w:hanging="242"/>
      </w:pPr>
      <w:rPr>
        <w:rFonts w:hint="default"/>
        <w:lang w:val="zh-CN" w:eastAsia="zh-CN" w:bidi="zh-CN"/>
      </w:rPr>
    </w:lvl>
    <w:lvl w:ilvl="4">
      <w:start w:val="0"/>
      <w:numFmt w:val="bullet"/>
      <w:lvlText w:val="•"/>
      <w:lvlJc w:val="left"/>
      <w:pPr>
        <w:ind w:left="3915" w:hanging="242"/>
      </w:pPr>
      <w:rPr>
        <w:rFonts w:hint="default"/>
        <w:lang w:val="zh-CN" w:eastAsia="zh-CN" w:bidi="zh-CN"/>
      </w:rPr>
    </w:lvl>
    <w:lvl w:ilvl="5">
      <w:start w:val="0"/>
      <w:numFmt w:val="bullet"/>
      <w:lvlText w:val="•"/>
      <w:lvlJc w:val="left"/>
      <w:pPr>
        <w:ind w:left="4760" w:hanging="242"/>
      </w:pPr>
      <w:rPr>
        <w:rFonts w:hint="default"/>
        <w:lang w:val="zh-CN" w:eastAsia="zh-CN" w:bidi="zh-CN"/>
      </w:rPr>
    </w:lvl>
    <w:lvl w:ilvl="6">
      <w:start w:val="0"/>
      <w:numFmt w:val="bullet"/>
      <w:lvlText w:val="•"/>
      <w:lvlJc w:val="left"/>
      <w:pPr>
        <w:ind w:left="5605" w:hanging="242"/>
      </w:pPr>
      <w:rPr>
        <w:rFonts w:hint="default"/>
        <w:lang w:val="zh-CN" w:eastAsia="zh-CN" w:bidi="zh-CN"/>
      </w:rPr>
    </w:lvl>
    <w:lvl w:ilvl="7">
      <w:start w:val="0"/>
      <w:numFmt w:val="bullet"/>
      <w:lvlText w:val="•"/>
      <w:lvlJc w:val="left"/>
      <w:pPr>
        <w:ind w:left="6450" w:hanging="242"/>
      </w:pPr>
      <w:rPr>
        <w:rFonts w:hint="default"/>
        <w:lang w:val="zh-CN" w:eastAsia="zh-CN" w:bidi="zh-CN"/>
      </w:rPr>
    </w:lvl>
    <w:lvl w:ilvl="8">
      <w:start w:val="0"/>
      <w:numFmt w:val="bullet"/>
      <w:lvlText w:val="•"/>
      <w:lvlJc w:val="left"/>
      <w:pPr>
        <w:ind w:left="7295" w:hanging="242"/>
      </w:pPr>
      <w:rPr>
        <w:rFonts w:hint="default"/>
        <w:lang w:val="zh-CN" w:eastAsia="zh-CN" w:bidi="zh-CN"/>
      </w:rPr>
    </w:lvl>
  </w:abstractNum>
  <w:abstractNum w:abstractNumId="3">
    <w:multiLevelType w:val="hybridMultilevel"/>
    <w:lvl w:ilvl="0">
      <w:start w:val="1"/>
      <w:numFmt w:val="decimal"/>
      <w:lvlText w:val="（%1）"/>
      <w:lvlJc w:val="left"/>
      <w:pPr>
        <w:ind w:left="104" w:hanging="816"/>
        <w:jc w:val="left"/>
      </w:pPr>
      <w:rPr>
        <w:rFonts w:hint="default" w:ascii="宋体" w:hAnsi="宋体" w:eastAsia="宋体" w:cs="宋体"/>
        <w:spacing w:val="5"/>
        <w:w w:val="99"/>
        <w:sz w:val="30"/>
        <w:szCs w:val="30"/>
        <w:lang w:val="zh-CN" w:eastAsia="zh-CN" w:bidi="zh-CN"/>
      </w:rPr>
    </w:lvl>
    <w:lvl w:ilvl="1">
      <w:start w:val="0"/>
      <w:numFmt w:val="bullet"/>
      <w:lvlText w:val="•"/>
      <w:lvlJc w:val="left"/>
      <w:pPr>
        <w:ind w:left="988" w:hanging="816"/>
      </w:pPr>
      <w:rPr>
        <w:rFonts w:hint="default"/>
        <w:lang w:val="zh-CN" w:eastAsia="zh-CN" w:bidi="zh-CN"/>
      </w:rPr>
    </w:lvl>
    <w:lvl w:ilvl="2">
      <w:start w:val="0"/>
      <w:numFmt w:val="bullet"/>
      <w:lvlText w:val="•"/>
      <w:lvlJc w:val="left"/>
      <w:pPr>
        <w:ind w:left="1877" w:hanging="816"/>
      </w:pPr>
      <w:rPr>
        <w:rFonts w:hint="default"/>
        <w:lang w:val="zh-CN" w:eastAsia="zh-CN" w:bidi="zh-CN"/>
      </w:rPr>
    </w:lvl>
    <w:lvl w:ilvl="3">
      <w:start w:val="0"/>
      <w:numFmt w:val="bullet"/>
      <w:lvlText w:val="•"/>
      <w:lvlJc w:val="left"/>
      <w:pPr>
        <w:ind w:left="2765" w:hanging="816"/>
      </w:pPr>
      <w:rPr>
        <w:rFonts w:hint="default"/>
        <w:lang w:val="zh-CN" w:eastAsia="zh-CN" w:bidi="zh-CN"/>
      </w:rPr>
    </w:lvl>
    <w:lvl w:ilvl="4">
      <w:start w:val="0"/>
      <w:numFmt w:val="bullet"/>
      <w:lvlText w:val="•"/>
      <w:lvlJc w:val="left"/>
      <w:pPr>
        <w:ind w:left="3654" w:hanging="816"/>
      </w:pPr>
      <w:rPr>
        <w:rFonts w:hint="default"/>
        <w:lang w:val="zh-CN" w:eastAsia="zh-CN" w:bidi="zh-CN"/>
      </w:rPr>
    </w:lvl>
    <w:lvl w:ilvl="5">
      <w:start w:val="0"/>
      <w:numFmt w:val="bullet"/>
      <w:lvlText w:val="•"/>
      <w:lvlJc w:val="left"/>
      <w:pPr>
        <w:ind w:left="4543" w:hanging="816"/>
      </w:pPr>
      <w:rPr>
        <w:rFonts w:hint="default"/>
        <w:lang w:val="zh-CN" w:eastAsia="zh-CN" w:bidi="zh-CN"/>
      </w:rPr>
    </w:lvl>
    <w:lvl w:ilvl="6">
      <w:start w:val="0"/>
      <w:numFmt w:val="bullet"/>
      <w:lvlText w:val="•"/>
      <w:lvlJc w:val="left"/>
      <w:pPr>
        <w:ind w:left="5431" w:hanging="816"/>
      </w:pPr>
      <w:rPr>
        <w:rFonts w:hint="default"/>
        <w:lang w:val="zh-CN" w:eastAsia="zh-CN" w:bidi="zh-CN"/>
      </w:rPr>
    </w:lvl>
    <w:lvl w:ilvl="7">
      <w:start w:val="0"/>
      <w:numFmt w:val="bullet"/>
      <w:lvlText w:val="•"/>
      <w:lvlJc w:val="left"/>
      <w:pPr>
        <w:ind w:left="6320" w:hanging="816"/>
      </w:pPr>
      <w:rPr>
        <w:rFonts w:hint="default"/>
        <w:lang w:val="zh-CN" w:eastAsia="zh-CN" w:bidi="zh-CN"/>
      </w:rPr>
    </w:lvl>
    <w:lvl w:ilvl="8">
      <w:start w:val="0"/>
      <w:numFmt w:val="bullet"/>
      <w:lvlText w:val="•"/>
      <w:lvlJc w:val="left"/>
      <w:pPr>
        <w:ind w:left="7208" w:hanging="816"/>
      </w:pPr>
      <w:rPr>
        <w:rFonts w:hint="default"/>
        <w:lang w:val="zh-CN" w:eastAsia="zh-CN" w:bidi="zh-CN"/>
      </w:rPr>
    </w:lvl>
  </w:abstractNum>
  <w:abstractNum w:abstractNumId="2">
    <w:multiLevelType w:val="hybridMultilevel"/>
    <w:lvl w:ilvl="0">
      <w:start w:val="1"/>
      <w:numFmt w:val="decimal"/>
      <w:lvlText w:val="%1."/>
      <w:lvlJc w:val="left"/>
      <w:pPr>
        <w:ind w:left="104"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988" w:hanging="242"/>
      </w:pPr>
      <w:rPr>
        <w:rFonts w:hint="default"/>
        <w:lang w:val="zh-CN" w:eastAsia="zh-CN" w:bidi="zh-CN"/>
      </w:rPr>
    </w:lvl>
    <w:lvl w:ilvl="2">
      <w:start w:val="0"/>
      <w:numFmt w:val="bullet"/>
      <w:lvlText w:val="•"/>
      <w:lvlJc w:val="left"/>
      <w:pPr>
        <w:ind w:left="1877" w:hanging="242"/>
      </w:pPr>
      <w:rPr>
        <w:rFonts w:hint="default"/>
        <w:lang w:val="zh-CN" w:eastAsia="zh-CN" w:bidi="zh-CN"/>
      </w:rPr>
    </w:lvl>
    <w:lvl w:ilvl="3">
      <w:start w:val="0"/>
      <w:numFmt w:val="bullet"/>
      <w:lvlText w:val="•"/>
      <w:lvlJc w:val="left"/>
      <w:pPr>
        <w:ind w:left="2765" w:hanging="242"/>
      </w:pPr>
      <w:rPr>
        <w:rFonts w:hint="default"/>
        <w:lang w:val="zh-CN" w:eastAsia="zh-CN" w:bidi="zh-CN"/>
      </w:rPr>
    </w:lvl>
    <w:lvl w:ilvl="4">
      <w:start w:val="0"/>
      <w:numFmt w:val="bullet"/>
      <w:lvlText w:val="•"/>
      <w:lvlJc w:val="left"/>
      <w:pPr>
        <w:ind w:left="3654" w:hanging="242"/>
      </w:pPr>
      <w:rPr>
        <w:rFonts w:hint="default"/>
        <w:lang w:val="zh-CN" w:eastAsia="zh-CN" w:bidi="zh-CN"/>
      </w:rPr>
    </w:lvl>
    <w:lvl w:ilvl="5">
      <w:start w:val="0"/>
      <w:numFmt w:val="bullet"/>
      <w:lvlText w:val="•"/>
      <w:lvlJc w:val="left"/>
      <w:pPr>
        <w:ind w:left="4543" w:hanging="242"/>
      </w:pPr>
      <w:rPr>
        <w:rFonts w:hint="default"/>
        <w:lang w:val="zh-CN" w:eastAsia="zh-CN" w:bidi="zh-CN"/>
      </w:rPr>
    </w:lvl>
    <w:lvl w:ilvl="6">
      <w:start w:val="0"/>
      <w:numFmt w:val="bullet"/>
      <w:lvlText w:val="•"/>
      <w:lvlJc w:val="left"/>
      <w:pPr>
        <w:ind w:left="5431" w:hanging="242"/>
      </w:pPr>
      <w:rPr>
        <w:rFonts w:hint="default"/>
        <w:lang w:val="zh-CN" w:eastAsia="zh-CN" w:bidi="zh-CN"/>
      </w:rPr>
    </w:lvl>
    <w:lvl w:ilvl="7">
      <w:start w:val="0"/>
      <w:numFmt w:val="bullet"/>
      <w:lvlText w:val="•"/>
      <w:lvlJc w:val="left"/>
      <w:pPr>
        <w:ind w:left="6320" w:hanging="242"/>
      </w:pPr>
      <w:rPr>
        <w:rFonts w:hint="default"/>
        <w:lang w:val="zh-CN" w:eastAsia="zh-CN" w:bidi="zh-CN"/>
      </w:rPr>
    </w:lvl>
    <w:lvl w:ilvl="8">
      <w:start w:val="0"/>
      <w:numFmt w:val="bullet"/>
      <w:lvlText w:val="•"/>
      <w:lvlJc w:val="left"/>
      <w:pPr>
        <w:ind w:left="7208" w:hanging="242"/>
      </w:pPr>
      <w:rPr>
        <w:rFonts w:hint="default"/>
        <w:lang w:val="zh-CN" w:eastAsia="zh-CN" w:bidi="zh-CN"/>
      </w:rPr>
    </w:lvl>
  </w:abstractNum>
  <w:abstractNum w:abstractNumId="1">
    <w:multiLevelType w:val="hybridMultilevel"/>
    <w:lvl w:ilvl="0">
      <w:start w:val="1"/>
      <w:numFmt w:val="decimal"/>
      <w:lvlText w:val="%1."/>
      <w:lvlJc w:val="left"/>
      <w:pPr>
        <w:ind w:left="104"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988" w:hanging="242"/>
      </w:pPr>
      <w:rPr>
        <w:rFonts w:hint="default"/>
        <w:lang w:val="zh-CN" w:eastAsia="zh-CN" w:bidi="zh-CN"/>
      </w:rPr>
    </w:lvl>
    <w:lvl w:ilvl="2">
      <w:start w:val="0"/>
      <w:numFmt w:val="bullet"/>
      <w:lvlText w:val="•"/>
      <w:lvlJc w:val="left"/>
      <w:pPr>
        <w:ind w:left="1877" w:hanging="242"/>
      </w:pPr>
      <w:rPr>
        <w:rFonts w:hint="default"/>
        <w:lang w:val="zh-CN" w:eastAsia="zh-CN" w:bidi="zh-CN"/>
      </w:rPr>
    </w:lvl>
    <w:lvl w:ilvl="3">
      <w:start w:val="0"/>
      <w:numFmt w:val="bullet"/>
      <w:lvlText w:val="•"/>
      <w:lvlJc w:val="left"/>
      <w:pPr>
        <w:ind w:left="2765" w:hanging="242"/>
      </w:pPr>
      <w:rPr>
        <w:rFonts w:hint="default"/>
        <w:lang w:val="zh-CN" w:eastAsia="zh-CN" w:bidi="zh-CN"/>
      </w:rPr>
    </w:lvl>
    <w:lvl w:ilvl="4">
      <w:start w:val="0"/>
      <w:numFmt w:val="bullet"/>
      <w:lvlText w:val="•"/>
      <w:lvlJc w:val="left"/>
      <w:pPr>
        <w:ind w:left="3654" w:hanging="242"/>
      </w:pPr>
      <w:rPr>
        <w:rFonts w:hint="default"/>
        <w:lang w:val="zh-CN" w:eastAsia="zh-CN" w:bidi="zh-CN"/>
      </w:rPr>
    </w:lvl>
    <w:lvl w:ilvl="5">
      <w:start w:val="0"/>
      <w:numFmt w:val="bullet"/>
      <w:lvlText w:val="•"/>
      <w:lvlJc w:val="left"/>
      <w:pPr>
        <w:ind w:left="4543" w:hanging="242"/>
      </w:pPr>
      <w:rPr>
        <w:rFonts w:hint="default"/>
        <w:lang w:val="zh-CN" w:eastAsia="zh-CN" w:bidi="zh-CN"/>
      </w:rPr>
    </w:lvl>
    <w:lvl w:ilvl="6">
      <w:start w:val="0"/>
      <w:numFmt w:val="bullet"/>
      <w:lvlText w:val="•"/>
      <w:lvlJc w:val="left"/>
      <w:pPr>
        <w:ind w:left="5431" w:hanging="242"/>
      </w:pPr>
      <w:rPr>
        <w:rFonts w:hint="default"/>
        <w:lang w:val="zh-CN" w:eastAsia="zh-CN" w:bidi="zh-CN"/>
      </w:rPr>
    </w:lvl>
    <w:lvl w:ilvl="7">
      <w:start w:val="0"/>
      <w:numFmt w:val="bullet"/>
      <w:lvlText w:val="•"/>
      <w:lvlJc w:val="left"/>
      <w:pPr>
        <w:ind w:left="6320" w:hanging="242"/>
      </w:pPr>
      <w:rPr>
        <w:rFonts w:hint="default"/>
        <w:lang w:val="zh-CN" w:eastAsia="zh-CN" w:bidi="zh-CN"/>
      </w:rPr>
    </w:lvl>
    <w:lvl w:ilvl="8">
      <w:start w:val="0"/>
      <w:numFmt w:val="bullet"/>
      <w:lvlText w:val="•"/>
      <w:lvlJc w:val="left"/>
      <w:pPr>
        <w:ind w:left="7208" w:hanging="242"/>
      </w:pPr>
      <w:rPr>
        <w:rFonts w:hint="default"/>
        <w:lang w:val="zh-CN" w:eastAsia="zh-CN" w:bidi="zh-CN"/>
      </w:rPr>
    </w:lvl>
  </w:abstractNum>
  <w:abstractNum w:abstractNumId="0">
    <w:multiLevelType w:val="hybridMultilevel"/>
    <w:lvl w:ilvl="0">
      <w:start w:val="1"/>
      <w:numFmt w:val="decimal"/>
      <w:lvlText w:val="%1."/>
      <w:lvlJc w:val="left"/>
      <w:pPr>
        <w:ind w:left="104" w:hanging="242"/>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988" w:hanging="242"/>
      </w:pPr>
      <w:rPr>
        <w:rFonts w:hint="default"/>
        <w:lang w:val="zh-CN" w:eastAsia="zh-CN" w:bidi="zh-CN"/>
      </w:rPr>
    </w:lvl>
    <w:lvl w:ilvl="2">
      <w:start w:val="0"/>
      <w:numFmt w:val="bullet"/>
      <w:lvlText w:val="•"/>
      <w:lvlJc w:val="left"/>
      <w:pPr>
        <w:ind w:left="1877" w:hanging="242"/>
      </w:pPr>
      <w:rPr>
        <w:rFonts w:hint="default"/>
        <w:lang w:val="zh-CN" w:eastAsia="zh-CN" w:bidi="zh-CN"/>
      </w:rPr>
    </w:lvl>
    <w:lvl w:ilvl="3">
      <w:start w:val="0"/>
      <w:numFmt w:val="bullet"/>
      <w:lvlText w:val="•"/>
      <w:lvlJc w:val="left"/>
      <w:pPr>
        <w:ind w:left="2765" w:hanging="242"/>
      </w:pPr>
      <w:rPr>
        <w:rFonts w:hint="default"/>
        <w:lang w:val="zh-CN" w:eastAsia="zh-CN" w:bidi="zh-CN"/>
      </w:rPr>
    </w:lvl>
    <w:lvl w:ilvl="4">
      <w:start w:val="0"/>
      <w:numFmt w:val="bullet"/>
      <w:lvlText w:val="•"/>
      <w:lvlJc w:val="left"/>
      <w:pPr>
        <w:ind w:left="3654" w:hanging="242"/>
      </w:pPr>
      <w:rPr>
        <w:rFonts w:hint="default"/>
        <w:lang w:val="zh-CN" w:eastAsia="zh-CN" w:bidi="zh-CN"/>
      </w:rPr>
    </w:lvl>
    <w:lvl w:ilvl="5">
      <w:start w:val="0"/>
      <w:numFmt w:val="bullet"/>
      <w:lvlText w:val="•"/>
      <w:lvlJc w:val="left"/>
      <w:pPr>
        <w:ind w:left="4543" w:hanging="242"/>
      </w:pPr>
      <w:rPr>
        <w:rFonts w:hint="default"/>
        <w:lang w:val="zh-CN" w:eastAsia="zh-CN" w:bidi="zh-CN"/>
      </w:rPr>
    </w:lvl>
    <w:lvl w:ilvl="6">
      <w:start w:val="0"/>
      <w:numFmt w:val="bullet"/>
      <w:lvlText w:val="•"/>
      <w:lvlJc w:val="left"/>
      <w:pPr>
        <w:ind w:left="5431" w:hanging="242"/>
      </w:pPr>
      <w:rPr>
        <w:rFonts w:hint="default"/>
        <w:lang w:val="zh-CN" w:eastAsia="zh-CN" w:bidi="zh-CN"/>
      </w:rPr>
    </w:lvl>
    <w:lvl w:ilvl="7">
      <w:start w:val="0"/>
      <w:numFmt w:val="bullet"/>
      <w:lvlText w:val="•"/>
      <w:lvlJc w:val="left"/>
      <w:pPr>
        <w:ind w:left="6320" w:hanging="242"/>
      </w:pPr>
      <w:rPr>
        <w:rFonts w:hint="default"/>
        <w:lang w:val="zh-CN" w:eastAsia="zh-CN" w:bidi="zh-CN"/>
      </w:rPr>
    </w:lvl>
    <w:lvl w:ilvl="8">
      <w:start w:val="0"/>
      <w:numFmt w:val="bullet"/>
      <w:lvlText w:val="•"/>
      <w:lvlJc w:val="left"/>
      <w:pPr>
        <w:ind w:left="7208" w:hanging="242"/>
      </w:pPr>
      <w:rPr>
        <w:rFonts w:hint="default"/>
        <w:lang w:val="zh-CN" w:eastAsia="zh-CN" w:bidi="zh-CN"/>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32"/>
      <w:szCs w:val="32"/>
      <w:lang w:val="zh-CN" w:eastAsia="zh-CN" w:bidi="zh-CN"/>
    </w:rPr>
  </w:style>
  <w:style w:styleId="Heading1" w:type="paragraph">
    <w:name w:val="Heading 1"/>
    <w:basedOn w:val="Normal"/>
    <w:uiPriority w:val="1"/>
    <w:qFormat/>
    <w:pPr>
      <w:ind w:left="451" w:right="611"/>
      <w:jc w:val="center"/>
      <w:outlineLvl w:val="1"/>
    </w:pPr>
    <w:rPr>
      <w:rFonts w:ascii="宋体" w:hAnsi="宋体" w:eastAsia="宋体" w:cs="宋体"/>
      <w:sz w:val="44"/>
      <w:szCs w:val="44"/>
      <w:lang w:val="zh-CN" w:eastAsia="zh-CN" w:bidi="zh-CN"/>
    </w:rPr>
  </w:style>
  <w:style w:styleId="ListParagraph" w:type="paragraph">
    <w:name w:val="List Paragraph"/>
    <w:basedOn w:val="Normal"/>
    <w:uiPriority w:val="1"/>
    <w:qFormat/>
    <w:pPr>
      <w:ind w:left="104" w:right="264" w:firstLine="640"/>
      <w:jc w:val="both"/>
    </w:pPr>
    <w:rPr>
      <w:rFonts w:ascii="宋体" w:hAnsi="宋体" w:eastAsia="宋体" w:cs="宋体"/>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麻利旺</dc:creator>
  <dc:title>中大研字〔2019〕57号</dc:title>
  <dcterms:created xsi:type="dcterms:W3CDTF">2021-02-01T02:02:20Z</dcterms:created>
  <dcterms:modified xsi:type="dcterms:W3CDTF">2021-02-01T02:02:20Z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2019-08-02T00:00:00Z</vt:filetime>
  </property>
  <property fmtid="{D5CDD505-2E9C-101B-9397-08002B2CF9AE}" pid="3" name="Creator">
    <vt:lpwstr>WPS Office</vt:lpwstr>
  </property>
  <property fmtid="{D5CDD505-2E9C-101B-9397-08002B2CF9AE}" pid="4" name="LastSaved">
    <vt:filetime>2021-02-01T00:00:00Z</vt:filetime>
  </property>
</Properties>
</file>