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bCs/>
          <w:sz w:val="36"/>
          <w:szCs w:val="36"/>
          <w:highlight w:val="none"/>
          <w:lang w:eastAsia="zh-CN"/>
        </w:rPr>
      </w:pPr>
      <w:r>
        <w:rPr>
          <w:rFonts w:hint="eastAsia" w:ascii="黑体" w:hAnsi="黑体" w:eastAsia="黑体" w:cs="黑体"/>
          <w:b/>
          <w:bCs/>
          <w:sz w:val="36"/>
          <w:szCs w:val="36"/>
          <w:highlight w:val="none"/>
        </w:rPr>
        <w:t>中南大学</w:t>
      </w:r>
      <w:r>
        <w:rPr>
          <w:rFonts w:hint="eastAsia" w:ascii="黑体" w:hAnsi="黑体" w:eastAsia="黑体" w:cs="黑体"/>
          <w:b/>
          <w:bCs/>
          <w:sz w:val="36"/>
          <w:szCs w:val="36"/>
          <w:highlight w:val="none"/>
          <w:lang w:eastAsia="zh-CN"/>
        </w:rPr>
        <w:t>湘雅三医院</w:t>
      </w:r>
      <w:r>
        <w:rPr>
          <w:rFonts w:hint="eastAsia" w:ascii="黑体" w:hAnsi="黑体" w:eastAsia="黑体" w:cs="黑体"/>
          <w:b/>
          <w:bCs/>
          <w:sz w:val="36"/>
          <w:szCs w:val="36"/>
          <w:highlight w:val="none"/>
        </w:rPr>
        <w:t>研究生奖助学金</w:t>
      </w:r>
      <w:r>
        <w:rPr>
          <w:rFonts w:hint="eastAsia" w:ascii="黑体" w:hAnsi="黑体" w:eastAsia="黑体" w:cs="黑体"/>
          <w:b/>
          <w:bCs/>
          <w:sz w:val="36"/>
          <w:szCs w:val="36"/>
          <w:highlight w:val="none"/>
          <w:lang w:eastAsia="zh-CN"/>
        </w:rPr>
        <w:t>实施细则</w:t>
      </w:r>
    </w:p>
    <w:p>
      <w:pPr>
        <w:pStyle w:val="2"/>
        <w:spacing w:line="360" w:lineRule="auto"/>
        <w:ind w:right="275"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为进一步完善研究生奖助学金体系，</w:t>
      </w:r>
      <w:r>
        <w:rPr>
          <w:rFonts w:hint="eastAsia" w:ascii="宋体" w:hAnsi="宋体" w:eastAsia="宋体" w:cs="宋体"/>
          <w:spacing w:val="1"/>
          <w:sz w:val="21"/>
          <w:szCs w:val="21"/>
          <w:highlight w:val="none"/>
        </w:rPr>
        <w:t>促进拔尖创新人才培养，根据《中南大学研究生奖助学金管理办法》(中大研字〔2020〕67号)</w:t>
      </w:r>
      <w:r>
        <w:rPr>
          <w:rFonts w:hint="eastAsia" w:ascii="宋体" w:hAnsi="宋体" w:eastAsia="宋体" w:cs="宋体"/>
          <w:sz w:val="21"/>
          <w:szCs w:val="21"/>
          <w:highlight w:val="none"/>
        </w:rPr>
        <w:t>，制订本办法。</w:t>
      </w:r>
    </w:p>
    <w:p>
      <w:pPr>
        <w:pStyle w:val="2"/>
        <w:numPr>
          <w:ilvl w:val="0"/>
          <w:numId w:val="0"/>
        </w:numPr>
        <w:spacing w:line="316" w:lineRule="auto"/>
        <w:ind w:leftChars="-9" w:right="275" w:rightChars="0"/>
        <w:jc w:val="center"/>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第一章 奖项类别</w:t>
      </w:r>
    </w:p>
    <w:p>
      <w:pPr>
        <w:pStyle w:val="2"/>
        <w:spacing w:line="316" w:lineRule="auto"/>
        <w:ind w:right="275" w:firstLine="424" w:firstLineChars="200"/>
        <w:jc w:val="both"/>
        <w:rPr>
          <w:rFonts w:hint="eastAsia" w:ascii="宋体" w:hAnsi="宋体" w:eastAsia="宋体" w:cs="宋体"/>
          <w:sz w:val="21"/>
          <w:szCs w:val="21"/>
          <w:highlight w:val="none"/>
          <w:lang w:val="en-US" w:eastAsia="zh-CN"/>
        </w:rPr>
      </w:pPr>
      <w:r>
        <w:rPr>
          <w:rFonts w:hint="eastAsia" w:ascii="黑体" w:hAnsi="黑体" w:eastAsia="黑体" w:cs="黑体"/>
          <w:spacing w:val="1"/>
          <w:sz w:val="21"/>
          <w:szCs w:val="21"/>
          <w:highlight w:val="none"/>
          <w:lang w:eastAsia="zh-CN"/>
        </w:rPr>
        <w:t>第一条</w:t>
      </w:r>
      <w:r>
        <w:rPr>
          <w:rFonts w:hint="eastAsia" w:ascii="黑体" w:hAnsi="黑体" w:eastAsia="黑体" w:cs="黑体"/>
          <w:spacing w:val="1"/>
          <w:sz w:val="21"/>
          <w:szCs w:val="21"/>
          <w:highlight w:val="none"/>
          <w:lang w:val="en-US" w:eastAsia="zh-CN"/>
        </w:rPr>
        <w:t xml:space="preserve">  </w:t>
      </w:r>
      <w:r>
        <w:rPr>
          <w:rFonts w:hint="eastAsia" w:ascii="宋体" w:hAnsi="宋体" w:eastAsia="宋体" w:cs="宋体"/>
          <w:spacing w:val="1"/>
          <w:sz w:val="21"/>
          <w:szCs w:val="21"/>
          <w:highlight w:val="none"/>
          <w:lang w:eastAsia="zh-CN"/>
        </w:rPr>
        <w:t>研究生奖助学金包括：研究生国家奖学金、研究生学业奖学金、研究生校长奖学金、研究生助学金、校级奖励金等。</w:t>
      </w: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en-US" w:eastAsia="zh-CN"/>
        </w:rPr>
      </w:pPr>
      <w:r>
        <w:rPr>
          <w:rFonts w:hint="eastAsia" w:ascii="黑体" w:hAnsi="黑体" w:eastAsia="黑体" w:cs="黑体"/>
          <w:spacing w:val="1"/>
          <w:sz w:val="24"/>
          <w:szCs w:val="24"/>
          <w:highlight w:val="none"/>
          <w:lang w:eastAsia="zh-CN"/>
        </w:rPr>
        <w:t>第二章</w:t>
      </w:r>
      <w:r>
        <w:rPr>
          <w:rFonts w:hint="eastAsia" w:ascii="黑体" w:hAnsi="黑体" w:eastAsia="黑体" w:cs="黑体"/>
          <w:spacing w:val="1"/>
          <w:sz w:val="24"/>
          <w:szCs w:val="24"/>
          <w:highlight w:val="none"/>
          <w:lang w:val="en-US" w:eastAsia="zh-CN"/>
        </w:rPr>
        <w:t xml:space="preserve"> </w:t>
      </w:r>
      <w:r>
        <w:rPr>
          <w:rFonts w:hint="eastAsia" w:ascii="黑体" w:hAnsi="黑体" w:eastAsia="黑体" w:cs="黑体"/>
          <w:spacing w:val="1"/>
          <w:sz w:val="24"/>
          <w:szCs w:val="24"/>
          <w:highlight w:val="none"/>
          <w:lang w:eastAsia="zh-CN"/>
        </w:rPr>
        <w:t>奖励对象</w:t>
      </w:r>
    </w:p>
    <w:p>
      <w:pPr>
        <w:pStyle w:val="2"/>
        <w:spacing w:line="316" w:lineRule="auto"/>
        <w:ind w:right="275" w:firstLine="424" w:firstLineChars="200"/>
        <w:jc w:val="both"/>
        <w:rPr>
          <w:rFonts w:hint="eastAsia" w:ascii="宋体" w:hAnsi="宋体" w:eastAsia="宋体" w:cs="宋体"/>
          <w:spacing w:val="1"/>
          <w:sz w:val="21"/>
          <w:szCs w:val="21"/>
          <w:highlight w:val="none"/>
          <w:lang w:val="en-US" w:eastAsia="zh-CN"/>
        </w:rPr>
      </w:pPr>
      <w:r>
        <w:rPr>
          <w:rFonts w:hint="eastAsia" w:ascii="黑体" w:hAnsi="黑体" w:eastAsia="黑体" w:cs="黑体"/>
          <w:spacing w:val="1"/>
          <w:sz w:val="21"/>
          <w:szCs w:val="21"/>
          <w:highlight w:val="none"/>
          <w:lang w:eastAsia="zh-CN"/>
        </w:rPr>
        <w:t>第二条</w:t>
      </w:r>
      <w:r>
        <w:rPr>
          <w:rFonts w:hint="eastAsia"/>
          <w:spacing w:val="1"/>
          <w:sz w:val="21"/>
          <w:szCs w:val="21"/>
          <w:highlight w:val="none"/>
          <w:lang w:val="en-US" w:eastAsia="zh-CN"/>
        </w:rPr>
        <w:t xml:space="preserve">  </w:t>
      </w:r>
      <w:r>
        <w:rPr>
          <w:rFonts w:hint="eastAsia" w:ascii="宋体" w:hAnsi="宋体" w:eastAsia="宋体" w:cs="宋体"/>
          <w:spacing w:val="1"/>
          <w:sz w:val="21"/>
          <w:szCs w:val="21"/>
          <w:highlight w:val="none"/>
          <w:lang w:eastAsia="zh-CN"/>
        </w:rPr>
        <w:t>研究生国家奖学金、研究生学业奖学金、研究生校长奖学金、研究生助学金奖励资助对象为具有中华人民共和国国籍且纳入全国研究生招生计划的全日制非定向就业研究生。</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黑体" w:hAnsi="黑体" w:eastAsia="黑体" w:cs="黑体"/>
          <w:b w:val="0"/>
          <w:bCs w:val="0"/>
          <w:spacing w:val="1"/>
          <w:sz w:val="21"/>
          <w:szCs w:val="21"/>
          <w:highlight w:val="none"/>
          <w:lang w:eastAsia="zh-CN"/>
        </w:rPr>
        <w:t>第三条</w:t>
      </w:r>
      <w:r>
        <w:rPr>
          <w:rFonts w:hint="eastAsia"/>
          <w:spacing w:val="1"/>
          <w:sz w:val="21"/>
          <w:szCs w:val="21"/>
          <w:highlight w:val="none"/>
          <w:lang w:val="en-US" w:eastAsia="zh-CN"/>
        </w:rPr>
        <w:t xml:space="preserve">  </w:t>
      </w:r>
      <w:r>
        <w:rPr>
          <w:rFonts w:hint="eastAsia" w:ascii="宋体" w:hAnsi="宋体" w:eastAsia="宋体" w:cs="宋体"/>
          <w:spacing w:val="1"/>
          <w:sz w:val="21"/>
          <w:szCs w:val="21"/>
          <w:highlight w:val="none"/>
          <w:lang w:eastAsia="zh-CN"/>
        </w:rPr>
        <w:t>研究生可同时申报并获得研究生学业奖学金、研究生国家奖学金、研究生校长奖学金和各项校级奖励金。社会各界在学校设有多类校级奖励金，是由各企事业单位、各社会团体或个人捐赠设立的支持中南大学教育的公益项目。奖励金的申报和评审工作，根据教育基金会奖励金有关评审办法，由学校教育基金会奖励金评审委员会组织评审。</w:t>
      </w:r>
    </w:p>
    <w:p>
      <w:pPr>
        <w:pStyle w:val="2"/>
        <w:spacing w:line="316" w:lineRule="auto"/>
        <w:ind w:left="19" w:leftChars="0" w:right="275" w:hanging="19" w:hangingChars="9"/>
        <w:jc w:val="both"/>
        <w:rPr>
          <w:rFonts w:hint="eastAsia"/>
          <w:spacing w:val="1"/>
          <w:sz w:val="21"/>
          <w:szCs w:val="21"/>
          <w:highlight w:val="none"/>
          <w:lang w:eastAsia="zh-CN"/>
        </w:rPr>
      </w:pP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eastAsia="zh-CN"/>
        </w:rPr>
      </w:pPr>
      <w:r>
        <w:rPr>
          <w:rFonts w:hint="eastAsia" w:ascii="黑体" w:hAnsi="黑体" w:eastAsia="黑体" w:cs="黑体"/>
          <w:spacing w:val="1"/>
          <w:sz w:val="24"/>
          <w:szCs w:val="24"/>
          <w:highlight w:val="none"/>
          <w:lang w:eastAsia="zh-CN"/>
        </w:rPr>
        <w:t>第三章</w:t>
      </w:r>
      <w:r>
        <w:rPr>
          <w:rFonts w:hint="eastAsia" w:ascii="黑体" w:hAnsi="黑体" w:eastAsia="黑体" w:cs="黑体"/>
          <w:spacing w:val="1"/>
          <w:sz w:val="24"/>
          <w:szCs w:val="24"/>
          <w:highlight w:val="none"/>
          <w:lang w:val="en-US" w:eastAsia="zh-CN"/>
        </w:rPr>
        <w:t xml:space="preserve"> </w:t>
      </w:r>
      <w:r>
        <w:rPr>
          <w:rFonts w:hint="eastAsia" w:ascii="黑体" w:hAnsi="黑体" w:eastAsia="黑体" w:cs="黑体"/>
          <w:spacing w:val="1"/>
          <w:sz w:val="24"/>
          <w:szCs w:val="24"/>
          <w:highlight w:val="none"/>
          <w:lang w:eastAsia="zh-CN"/>
        </w:rPr>
        <w:t>奖励标准</w:t>
      </w: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eastAsia="zh-CN"/>
        </w:rPr>
      </w:pP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6"/>
        <w:gridCol w:w="1067"/>
        <w:gridCol w:w="1709"/>
        <w:gridCol w:w="1491"/>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tcBorders>
              <w:tl2br w:val="nil"/>
              <w:tr2bl w:val="nil"/>
            </w:tcBorders>
            <w:vAlign w:val="center"/>
          </w:tcPr>
          <w:p>
            <w:pPr>
              <w:ind w:left="18" w:leftChars="0" w:hanging="18" w:hangingChars="9"/>
              <w:jc w:val="center"/>
              <w:rPr>
                <w:rFonts w:hint="eastAsia" w:ascii="Times New Roman" w:hAnsi="Times New Roman" w:eastAsiaTheme="minorEastAsia"/>
                <w:color w:val="auto"/>
                <w:kern w:val="2"/>
                <w:highlight w:val="none"/>
                <w:lang w:eastAsia="zh-CN"/>
              </w:rPr>
            </w:pPr>
            <w:r>
              <w:rPr>
                <w:rFonts w:hint="eastAsia" w:ascii="Times New Roman" w:hAnsi="Times New Roman"/>
                <w:color w:val="auto"/>
                <w:kern w:val="2"/>
                <w:highlight w:val="none"/>
                <w:lang w:eastAsia="zh-CN"/>
              </w:rPr>
              <w:t>奖励项目</w:t>
            </w:r>
          </w:p>
        </w:tc>
        <w:tc>
          <w:tcPr>
            <w:tcW w:w="2776" w:type="dxa"/>
            <w:gridSpan w:val="2"/>
            <w:tcBorders>
              <w:tl2br w:val="nil"/>
              <w:tr2bl w:val="nil"/>
            </w:tcBorders>
            <w:vAlign w:val="center"/>
          </w:tcPr>
          <w:p>
            <w:pPr>
              <w:ind w:left="18" w:leftChars="0" w:hanging="18" w:hangingChars="9"/>
              <w:jc w:val="center"/>
              <w:rPr>
                <w:rFonts w:hint="eastAsia" w:eastAsiaTheme="minorEastAsia"/>
                <w:color w:val="auto"/>
                <w:highlight w:val="none"/>
                <w:lang w:eastAsia="zh-CN"/>
              </w:rPr>
            </w:pPr>
            <w:r>
              <w:rPr>
                <w:rFonts w:hint="eastAsia" w:ascii="Times New Roman" w:hAnsi="Times New Roman"/>
                <w:color w:val="auto"/>
                <w:kern w:val="2"/>
                <w:highlight w:val="none"/>
              </w:rPr>
              <w:t>奖</w:t>
            </w:r>
            <w:r>
              <w:rPr>
                <w:rFonts w:ascii="Times New Roman" w:hAnsi="Times New Roman" w:cs="Times New Roman"/>
                <w:color w:val="auto"/>
                <w:kern w:val="2"/>
                <w:highlight w:val="none"/>
              </w:rPr>
              <w:t xml:space="preserve"> </w:t>
            </w:r>
            <w:r>
              <w:rPr>
                <w:rFonts w:hint="eastAsia" w:ascii="Times New Roman" w:hAnsi="Times New Roman"/>
                <w:color w:val="auto"/>
                <w:kern w:val="2"/>
                <w:highlight w:val="none"/>
              </w:rPr>
              <w:t>励</w:t>
            </w:r>
            <w:r>
              <w:rPr>
                <w:rFonts w:ascii="Times New Roman" w:hAnsi="Times New Roman" w:cs="Times New Roman"/>
                <w:color w:val="auto"/>
                <w:kern w:val="2"/>
                <w:highlight w:val="none"/>
              </w:rPr>
              <w:t xml:space="preserve"> </w:t>
            </w:r>
            <w:r>
              <w:rPr>
                <w:rFonts w:hint="eastAsia" w:ascii="Times New Roman" w:hAnsi="Times New Roman"/>
                <w:color w:val="auto"/>
                <w:kern w:val="2"/>
                <w:highlight w:val="none"/>
                <w:lang w:eastAsia="zh-CN"/>
              </w:rPr>
              <w:t>类</w:t>
            </w:r>
            <w:r>
              <w:rPr>
                <w:rFonts w:hint="eastAsia" w:ascii="Times New Roman" w:hAnsi="Times New Roman"/>
                <w:color w:val="auto"/>
                <w:kern w:val="2"/>
                <w:highlight w:val="none"/>
                <w:lang w:val="en-US" w:eastAsia="zh-CN"/>
              </w:rPr>
              <w:t xml:space="preserve"> </w:t>
            </w:r>
            <w:r>
              <w:rPr>
                <w:rFonts w:hint="eastAsia" w:ascii="Times New Roman" w:hAnsi="Times New Roman"/>
                <w:color w:val="auto"/>
                <w:kern w:val="2"/>
                <w:highlight w:val="none"/>
                <w:lang w:eastAsia="zh-CN"/>
              </w:rPr>
              <w:t>别</w:t>
            </w:r>
          </w:p>
        </w:tc>
        <w:tc>
          <w:tcPr>
            <w:tcW w:w="1491" w:type="dxa"/>
            <w:tcBorders>
              <w:tl2br w:val="nil"/>
              <w:tr2bl w:val="nil"/>
            </w:tcBorders>
            <w:vAlign w:val="center"/>
          </w:tcPr>
          <w:p>
            <w:pPr>
              <w:ind w:left="18" w:leftChars="0" w:hanging="18" w:hangingChars="9"/>
              <w:jc w:val="center"/>
              <w:rPr>
                <w:color w:val="auto"/>
                <w:highlight w:val="none"/>
              </w:rPr>
            </w:pPr>
            <w:r>
              <w:rPr>
                <w:rFonts w:hint="eastAsia" w:ascii="Times New Roman" w:hAnsi="Times New Roman"/>
                <w:color w:val="auto"/>
                <w:kern w:val="2"/>
                <w:highlight w:val="none"/>
              </w:rPr>
              <w:t>每人奖励金额</w:t>
            </w:r>
            <w:r>
              <w:rPr>
                <w:rFonts w:ascii="Times New Roman" w:hAnsi="Times New Roman" w:cs="Times New Roman"/>
                <w:color w:val="auto"/>
                <w:kern w:val="2"/>
                <w:highlight w:val="none"/>
              </w:rPr>
              <w:t>(</w:t>
            </w:r>
            <w:r>
              <w:rPr>
                <w:rFonts w:hint="eastAsia" w:ascii="Times New Roman" w:hAnsi="Times New Roman" w:cs="Times New Roman"/>
                <w:color w:val="auto"/>
                <w:kern w:val="2"/>
                <w:highlight w:val="none"/>
                <w:lang w:eastAsia="zh-CN"/>
              </w:rPr>
              <w:t>元</w:t>
            </w:r>
            <w:r>
              <w:rPr>
                <w:rFonts w:hint="eastAsia" w:ascii="Times New Roman" w:hAnsi="Times New Roman" w:cs="Times New Roman"/>
                <w:color w:val="auto"/>
                <w:kern w:val="2"/>
                <w:highlight w:val="none"/>
                <w:lang w:val="en-US" w:eastAsia="zh-CN"/>
              </w:rPr>
              <w:t>·年）</w:t>
            </w:r>
          </w:p>
        </w:tc>
        <w:tc>
          <w:tcPr>
            <w:tcW w:w="1482" w:type="dxa"/>
            <w:tcBorders>
              <w:tl2br w:val="nil"/>
              <w:tr2bl w:val="nil"/>
            </w:tcBorders>
            <w:vAlign w:val="center"/>
          </w:tcPr>
          <w:p>
            <w:pPr>
              <w:ind w:left="18" w:leftChars="0" w:hanging="18" w:hangingChars="9"/>
              <w:jc w:val="center"/>
              <w:rPr>
                <w:rFonts w:hint="eastAsia" w:ascii="Times New Roman" w:hAnsi="Times New Roman" w:eastAsiaTheme="minorEastAsia"/>
                <w:color w:val="auto"/>
                <w:kern w:val="2"/>
                <w:highlight w:val="none"/>
                <w:lang w:eastAsia="zh-CN"/>
              </w:rPr>
            </w:pPr>
            <w:r>
              <w:rPr>
                <w:rFonts w:hint="eastAsia" w:ascii="Times New Roman" w:hAnsi="Times New Roman"/>
                <w:color w:val="auto"/>
                <w:kern w:val="2"/>
                <w:highlight w:val="none"/>
                <w:lang w:eastAsia="zh-CN"/>
              </w:rPr>
              <w:t>获奖比例或指标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8" w:leftChars="0" w:hanging="18" w:hangingChars="9"/>
              <w:jc w:val="center"/>
              <w:rPr>
                <w:rFonts w:hint="eastAsia" w:ascii="Times New Roman" w:hAnsi="Times New Roman"/>
                <w:color w:val="auto"/>
                <w:kern w:val="2"/>
                <w:highlight w:val="none"/>
              </w:rPr>
            </w:pPr>
            <w:r>
              <w:rPr>
                <w:rFonts w:hint="eastAsia" w:ascii="Times New Roman" w:hAnsi="Times New Roman"/>
                <w:color w:val="auto"/>
                <w:kern w:val="2"/>
                <w:highlight w:val="none"/>
              </w:rPr>
              <w:t>国家奖学金</w:t>
            </w:r>
          </w:p>
        </w:tc>
        <w:tc>
          <w:tcPr>
            <w:tcW w:w="2776" w:type="dxa"/>
            <w:gridSpan w:val="2"/>
            <w:tcBorders>
              <w:tl2br w:val="nil"/>
              <w:tr2bl w:val="nil"/>
            </w:tcBorders>
            <w:vAlign w:val="center"/>
          </w:tcPr>
          <w:p>
            <w:pPr>
              <w:ind w:left="18" w:leftChars="0" w:hanging="18" w:hangingChars="9"/>
              <w:jc w:val="center"/>
              <w:rPr>
                <w:color w:val="auto"/>
                <w:highlight w:val="none"/>
              </w:rPr>
            </w:pPr>
            <w:r>
              <w:rPr>
                <w:rFonts w:hint="eastAsia" w:ascii="Times New Roman" w:hAnsi="Times New Roman"/>
                <w:color w:val="auto"/>
                <w:kern w:val="2"/>
                <w:highlight w:val="none"/>
              </w:rPr>
              <w:t>硕士研究生奖</w:t>
            </w:r>
          </w:p>
        </w:tc>
        <w:tc>
          <w:tcPr>
            <w:tcW w:w="1491" w:type="dxa"/>
            <w:tcBorders>
              <w:tl2br w:val="nil"/>
              <w:tr2bl w:val="nil"/>
            </w:tcBorders>
            <w:vAlign w:val="center"/>
          </w:tcPr>
          <w:p>
            <w:pPr>
              <w:ind w:left="18" w:leftChars="0" w:hanging="18" w:hangingChars="9"/>
              <w:jc w:val="center"/>
              <w:rPr>
                <w:color w:val="auto"/>
                <w:highlight w:val="none"/>
              </w:rPr>
            </w:pPr>
            <w:r>
              <w:rPr>
                <w:rFonts w:ascii="Times New Roman" w:hAnsi="Times New Roman" w:cs="Times New Roman"/>
                <w:color w:val="auto"/>
                <w:kern w:val="2"/>
                <w:highlight w:val="none"/>
              </w:rPr>
              <w:t>20000</w:t>
            </w:r>
            <w:r>
              <w:rPr>
                <w:rFonts w:hint="eastAsia" w:ascii="Times New Roman" w:hAnsi="Times New Roman" w:cs="Times New Roman"/>
                <w:color w:val="auto"/>
                <w:kern w:val="2"/>
                <w:highlight w:val="none"/>
              </w:rPr>
              <w:t>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hint="eastAsia" w:ascii="Times New Roman" w:hAnsi="Times New Roman"/>
                <w:color w:val="auto"/>
                <w:kern w:val="2"/>
                <w:highlight w:val="none"/>
              </w:rPr>
            </w:pPr>
          </w:p>
        </w:tc>
        <w:tc>
          <w:tcPr>
            <w:tcW w:w="2776" w:type="dxa"/>
            <w:gridSpan w:val="2"/>
            <w:tcBorders>
              <w:tl2br w:val="nil"/>
              <w:tr2bl w:val="nil"/>
            </w:tcBorders>
            <w:vAlign w:val="center"/>
          </w:tcPr>
          <w:p>
            <w:pPr>
              <w:ind w:left="18" w:leftChars="0" w:hanging="18" w:hangingChars="9"/>
              <w:jc w:val="center"/>
              <w:rPr>
                <w:color w:val="auto"/>
                <w:highlight w:val="none"/>
              </w:rPr>
            </w:pPr>
            <w:r>
              <w:rPr>
                <w:rFonts w:hint="eastAsia" w:ascii="Times New Roman" w:hAnsi="Times New Roman"/>
                <w:color w:val="auto"/>
                <w:kern w:val="2"/>
                <w:highlight w:val="none"/>
              </w:rPr>
              <w:t>博士研究生奖</w:t>
            </w:r>
          </w:p>
        </w:tc>
        <w:tc>
          <w:tcPr>
            <w:tcW w:w="1491" w:type="dxa"/>
            <w:tcBorders>
              <w:tl2br w:val="nil"/>
              <w:tr2bl w:val="nil"/>
            </w:tcBorders>
            <w:vAlign w:val="center"/>
          </w:tcPr>
          <w:p>
            <w:pPr>
              <w:ind w:left="18" w:leftChars="0" w:hanging="18" w:hangingChars="9"/>
              <w:jc w:val="center"/>
              <w:rPr>
                <w:color w:val="auto"/>
                <w:highlight w:val="none"/>
              </w:rPr>
            </w:pPr>
            <w:r>
              <w:rPr>
                <w:rFonts w:ascii="Times New Roman" w:hAnsi="Times New Roman" w:cs="Times New Roman"/>
                <w:color w:val="auto"/>
                <w:kern w:val="2"/>
                <w:highlight w:val="none"/>
              </w:rPr>
              <w:t>30000</w:t>
            </w:r>
            <w:r>
              <w:rPr>
                <w:rFonts w:hint="eastAsia" w:ascii="Times New Roman" w:hAnsi="Times New Roman" w:cs="Times New Roman"/>
                <w:color w:val="auto"/>
                <w:kern w:val="2"/>
                <w:highlight w:val="none"/>
              </w:rPr>
              <w:t>元</w:t>
            </w:r>
          </w:p>
        </w:tc>
        <w:tc>
          <w:tcPr>
            <w:tcW w:w="1482" w:type="dxa"/>
            <w:tcBorders>
              <w:tl2br w:val="nil"/>
              <w:tr2bl w:val="nil"/>
            </w:tcBorders>
            <w:vAlign w:val="center"/>
          </w:tcPr>
          <w:p>
            <w:pPr>
              <w:ind w:left="18" w:leftChars="0" w:hanging="18" w:hangingChars="9"/>
              <w:jc w:val="center"/>
              <w:rPr>
                <w:rFonts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9" w:leftChars="0" w:hanging="19" w:hangingChars="9"/>
              <w:jc w:val="center"/>
              <w:rPr>
                <w:rFonts w:ascii="Arial" w:hAnsi="Arial" w:cs="Arial"/>
                <w:color w:val="auto"/>
                <w:highlight w:val="none"/>
                <w:shd w:val="clear" w:color="auto" w:fill="FFFFFF"/>
              </w:rPr>
            </w:pPr>
            <w:r>
              <w:rPr>
                <w:rFonts w:hint="eastAsia"/>
                <w:spacing w:val="1"/>
                <w:sz w:val="21"/>
                <w:szCs w:val="21"/>
                <w:highlight w:val="none"/>
                <w:lang w:eastAsia="zh-CN"/>
              </w:rPr>
              <w:t>研究生校长奖学金</w:t>
            </w:r>
          </w:p>
        </w:tc>
        <w:tc>
          <w:tcPr>
            <w:tcW w:w="2776" w:type="dxa"/>
            <w:gridSpan w:val="2"/>
            <w:tcBorders>
              <w:tl2br w:val="nil"/>
              <w:tr2bl w:val="nil"/>
            </w:tcBorders>
            <w:vAlign w:val="center"/>
          </w:tcPr>
          <w:p>
            <w:pPr>
              <w:ind w:left="18" w:leftChars="0" w:hanging="18" w:hangingChars="9"/>
              <w:jc w:val="center"/>
              <w:rPr>
                <w:rFonts w:hint="eastAsia" w:ascii="Times New Roman" w:hAnsi="Times New Roman"/>
                <w:color w:val="auto"/>
                <w:kern w:val="2"/>
                <w:highlight w:val="none"/>
                <w:lang w:eastAsia="zh-CN"/>
              </w:rPr>
            </w:pPr>
            <w:r>
              <w:rPr>
                <w:rFonts w:hint="eastAsia" w:ascii="Times New Roman" w:hAnsi="Times New Roman"/>
                <w:color w:val="auto"/>
                <w:kern w:val="2"/>
                <w:highlight w:val="none"/>
              </w:rPr>
              <w:t>卓越奖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96000元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ascii="Times New Roman" w:hAnsi="Times New Roman" w:cs="Times New Roman"/>
                <w:color w:val="auto"/>
                <w:kern w:val="2"/>
                <w:highlight w:val="none"/>
              </w:rPr>
              <w:t>5</w:t>
            </w:r>
            <w:r>
              <w:rPr>
                <w:rFonts w:hint="eastAsia" w:ascii="Times New Roman" w:hAnsi="Times New Roman" w:cs="Times New Roman"/>
                <w:color w:val="auto"/>
                <w:kern w:val="2"/>
                <w:highlight w:val="none"/>
                <w:lang w:eastAsia="zh-CN"/>
              </w:rPr>
              <w:t>（全校）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2776" w:type="dxa"/>
            <w:gridSpan w:val="2"/>
            <w:tcBorders>
              <w:tl2br w:val="nil"/>
              <w:tr2bl w:val="nil"/>
            </w:tcBorders>
            <w:vAlign w:val="center"/>
          </w:tcPr>
          <w:p>
            <w:pPr>
              <w:ind w:left="18" w:leftChars="0" w:hanging="18" w:hangingChars="9"/>
              <w:jc w:val="center"/>
              <w:rPr>
                <w:rFonts w:hint="eastAsia" w:ascii="Times New Roman" w:hAnsi="Times New Roman"/>
                <w:color w:val="auto"/>
                <w:kern w:val="2"/>
                <w:highlight w:val="none"/>
                <w:lang w:eastAsia="zh-CN"/>
              </w:rPr>
            </w:pPr>
            <w:r>
              <w:rPr>
                <w:rFonts w:hint="eastAsia" w:ascii="Times New Roman" w:hAnsi="Times New Roman"/>
                <w:color w:val="auto"/>
                <w:kern w:val="2"/>
                <w:highlight w:val="none"/>
              </w:rPr>
              <w:t>拔尖奖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48000元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ascii="Times New Roman" w:hAnsi="Times New Roman" w:cs="Times New Roman"/>
                <w:color w:val="auto"/>
                <w:kern w:val="2"/>
                <w:highlight w:val="none"/>
              </w:rPr>
              <w:t>30</w:t>
            </w:r>
            <w:r>
              <w:rPr>
                <w:rFonts w:hint="eastAsia" w:ascii="Times New Roman" w:hAnsi="Times New Roman" w:cs="Times New Roman"/>
                <w:color w:val="auto"/>
                <w:kern w:val="2"/>
                <w:highlight w:val="none"/>
                <w:lang w:eastAsia="zh-CN"/>
              </w:rPr>
              <w:t>（全校）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2776" w:type="dxa"/>
            <w:gridSpan w:val="2"/>
            <w:tcBorders>
              <w:tl2br w:val="nil"/>
              <w:tr2bl w:val="nil"/>
            </w:tcBorders>
            <w:vAlign w:val="center"/>
          </w:tcPr>
          <w:p>
            <w:pPr>
              <w:ind w:left="18" w:leftChars="0" w:hanging="18" w:hangingChars="9"/>
              <w:jc w:val="center"/>
              <w:rPr>
                <w:rFonts w:hint="eastAsia" w:ascii="Times New Roman" w:hAnsi="Times New Roman"/>
                <w:color w:val="auto"/>
                <w:kern w:val="2"/>
                <w:highlight w:val="none"/>
                <w:lang w:eastAsia="zh-CN"/>
              </w:rPr>
            </w:pPr>
            <w:r>
              <w:rPr>
                <w:rFonts w:hint="eastAsia" w:ascii="Times New Roman" w:hAnsi="Times New Roman"/>
                <w:color w:val="auto"/>
                <w:kern w:val="2"/>
                <w:highlight w:val="none"/>
              </w:rPr>
              <w:t>创新奖</w:t>
            </w:r>
          </w:p>
        </w:tc>
        <w:tc>
          <w:tcPr>
            <w:tcW w:w="1491" w:type="dxa"/>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24000元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9" w:leftChars="0" w:hanging="19" w:hangingChars="9"/>
              <w:jc w:val="center"/>
              <w:rPr>
                <w:rFonts w:ascii="Arial" w:hAnsi="Arial" w:cs="Arial"/>
                <w:color w:val="auto"/>
                <w:highlight w:val="none"/>
                <w:shd w:val="clear" w:color="auto" w:fill="FFFFFF"/>
              </w:rPr>
            </w:pPr>
            <w:r>
              <w:rPr>
                <w:rFonts w:hint="eastAsia"/>
                <w:spacing w:val="1"/>
                <w:sz w:val="21"/>
                <w:szCs w:val="21"/>
                <w:highlight w:val="none"/>
                <w:lang w:eastAsia="zh-CN"/>
              </w:rPr>
              <w:t>研究生学业奖学金</w:t>
            </w:r>
          </w:p>
        </w:tc>
        <w:tc>
          <w:tcPr>
            <w:tcW w:w="1067"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博士</w:t>
            </w:r>
          </w:p>
        </w:tc>
        <w:tc>
          <w:tcPr>
            <w:tcW w:w="1709" w:type="dxa"/>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新生不分等级</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15000元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高年级一等奖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p>
        </w:tc>
        <w:tc>
          <w:tcPr>
            <w:tcW w:w="1709"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高年级二等奖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13000元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高年级三等奖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5000元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硕士</w:t>
            </w:r>
          </w:p>
        </w:tc>
        <w:tc>
          <w:tcPr>
            <w:tcW w:w="1709"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新生（推免）</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10000元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新生（非推免）</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高年级一等奖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12000元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高年级二等奖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8000元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709" w:type="dxa"/>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r>
              <w:rPr>
                <w:rFonts w:hint="eastAsia" w:ascii="Arial" w:hAnsi="Arial" w:cs="Arial"/>
                <w:color w:val="auto"/>
                <w:highlight w:val="none"/>
                <w:shd w:val="clear" w:color="auto" w:fill="FFFFFF"/>
                <w:lang w:eastAsia="zh-CN"/>
              </w:rPr>
              <w:t>高年级三等奖</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eastAsiaTheme="minorEastAsia"/>
                <w:color w:val="auto"/>
                <w:kern w:val="2"/>
                <w:highlight w:val="none"/>
                <w:lang w:val="en-US" w:eastAsia="zh-CN"/>
              </w:rPr>
            </w:pPr>
            <w:r>
              <w:rPr>
                <w:rFonts w:hint="eastAsia" w:ascii="Times New Roman" w:hAnsi="Times New Roman" w:cs="Times New Roman"/>
                <w:color w:val="auto"/>
                <w:kern w:val="2"/>
                <w:highlight w:val="none"/>
                <w:lang w:val="en-US" w:eastAsia="zh-CN"/>
              </w:rPr>
              <w:t>5000元</w:t>
            </w:r>
          </w:p>
        </w:tc>
        <w:tc>
          <w:tcPr>
            <w:tcW w:w="1482"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rPr>
            </w:pPr>
            <w:r>
              <w:rPr>
                <w:rFonts w:hint="eastAsia" w:ascii="Times New Roman" w:hAnsi="Times New Roman" w:cs="Times New Roman"/>
                <w:color w:val="auto"/>
                <w:kern w:val="2"/>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研究生助学金</w:t>
            </w:r>
          </w:p>
        </w:tc>
        <w:tc>
          <w:tcPr>
            <w:tcW w:w="1067" w:type="dxa"/>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博士</w:t>
            </w:r>
          </w:p>
        </w:tc>
        <w:tc>
          <w:tcPr>
            <w:tcW w:w="1709" w:type="dxa"/>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全体</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39200元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国家15000+学校5000+医院19200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restart"/>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r>
              <w:rPr>
                <w:rFonts w:hint="eastAsia" w:ascii="Arial" w:hAnsi="Arial" w:cs="Arial"/>
                <w:color w:val="auto"/>
                <w:highlight w:val="none"/>
                <w:shd w:val="clear" w:color="auto" w:fill="FFFFFF"/>
                <w:lang w:eastAsia="zh-CN"/>
              </w:rPr>
              <w:t>硕士</w:t>
            </w:r>
          </w:p>
        </w:tc>
        <w:tc>
          <w:tcPr>
            <w:tcW w:w="1709" w:type="dxa"/>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推免生</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24800元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国家6000+学校2000+医院16800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blHeader/>
          <w:jc w:val="center"/>
        </w:trPr>
        <w:tc>
          <w:tcPr>
            <w:tcW w:w="2776" w:type="dxa"/>
            <w:vMerge w:val="continue"/>
            <w:tcBorders>
              <w:tl2br w:val="nil"/>
              <w:tr2bl w:val="nil"/>
            </w:tcBorders>
            <w:vAlign w:val="center"/>
          </w:tcPr>
          <w:p>
            <w:pPr>
              <w:ind w:left="18" w:leftChars="0" w:hanging="18" w:hangingChars="9"/>
              <w:jc w:val="center"/>
              <w:rPr>
                <w:rFonts w:ascii="Arial" w:hAnsi="Arial" w:cs="Arial"/>
                <w:color w:val="auto"/>
                <w:highlight w:val="none"/>
                <w:shd w:val="clear" w:color="auto" w:fill="FFFFFF"/>
              </w:rPr>
            </w:pPr>
          </w:p>
        </w:tc>
        <w:tc>
          <w:tcPr>
            <w:tcW w:w="1067" w:type="dxa"/>
            <w:vMerge w:val="continue"/>
            <w:tcBorders>
              <w:tl2br w:val="nil"/>
              <w:tr2bl w:val="nil"/>
            </w:tcBorders>
            <w:vAlign w:val="center"/>
          </w:tcPr>
          <w:p>
            <w:pPr>
              <w:ind w:left="18" w:leftChars="0" w:hanging="18" w:hangingChars="9"/>
              <w:jc w:val="center"/>
              <w:rPr>
                <w:rFonts w:hint="eastAsia" w:ascii="Arial" w:hAnsi="Arial" w:cs="Arial" w:eastAsiaTheme="minorEastAsia"/>
                <w:color w:val="auto"/>
                <w:highlight w:val="none"/>
                <w:shd w:val="clear" w:color="auto" w:fill="FFFFFF"/>
                <w:lang w:eastAsia="zh-CN"/>
              </w:rPr>
            </w:pPr>
          </w:p>
        </w:tc>
        <w:tc>
          <w:tcPr>
            <w:tcW w:w="1709" w:type="dxa"/>
            <w:tcBorders>
              <w:tl2br w:val="nil"/>
              <w:tr2bl w:val="nil"/>
            </w:tcBorders>
            <w:vAlign w:val="center"/>
          </w:tcPr>
          <w:p>
            <w:pPr>
              <w:ind w:left="18" w:leftChars="0" w:hanging="18" w:hangingChars="9"/>
              <w:jc w:val="center"/>
              <w:rPr>
                <w:rFonts w:hint="eastAsia" w:ascii="Arial" w:hAnsi="Arial" w:cs="Arial"/>
                <w:color w:val="auto"/>
                <w:highlight w:val="none"/>
                <w:shd w:val="clear" w:color="auto" w:fill="FFFFFF"/>
                <w:lang w:eastAsia="zh-CN"/>
              </w:rPr>
            </w:pPr>
            <w:r>
              <w:rPr>
                <w:rFonts w:hint="eastAsia" w:ascii="Arial" w:hAnsi="Arial" w:cs="Arial"/>
                <w:color w:val="auto"/>
                <w:highlight w:val="none"/>
                <w:shd w:val="clear" w:color="auto" w:fill="FFFFFF"/>
                <w:lang w:eastAsia="zh-CN"/>
              </w:rPr>
              <w:t>非推免生</w:t>
            </w:r>
          </w:p>
        </w:tc>
        <w:tc>
          <w:tcPr>
            <w:tcW w:w="1491" w:type="dxa"/>
            <w:tcBorders>
              <w:tl2br w:val="nil"/>
              <w:tr2bl w:val="nil"/>
            </w:tcBorders>
            <w:vAlign w:val="center"/>
          </w:tcPr>
          <w:p>
            <w:pPr>
              <w:ind w:left="18" w:leftChars="0" w:hanging="18" w:hangingChars="9"/>
              <w:jc w:val="center"/>
              <w:rPr>
                <w:rFonts w:hint="eastAsia"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22800元</w:t>
            </w:r>
          </w:p>
        </w:tc>
        <w:tc>
          <w:tcPr>
            <w:tcW w:w="1482" w:type="dxa"/>
            <w:tcBorders>
              <w:tl2br w:val="nil"/>
              <w:tr2bl w:val="nil"/>
            </w:tcBorders>
            <w:vAlign w:val="center"/>
          </w:tcPr>
          <w:p>
            <w:pPr>
              <w:ind w:left="18" w:leftChars="0" w:hanging="18" w:hangingChars="9"/>
              <w:jc w:val="center"/>
              <w:rPr>
                <w:rFonts w:hint="default" w:ascii="Times New Roman" w:hAnsi="Times New Roman" w:cs="Times New Roman"/>
                <w:color w:val="auto"/>
                <w:kern w:val="2"/>
                <w:highlight w:val="none"/>
                <w:lang w:val="en-US" w:eastAsia="zh-CN"/>
              </w:rPr>
            </w:pPr>
            <w:r>
              <w:rPr>
                <w:rFonts w:hint="eastAsia" w:ascii="Times New Roman" w:hAnsi="Times New Roman" w:cs="Times New Roman"/>
                <w:color w:val="auto"/>
                <w:kern w:val="2"/>
                <w:highlight w:val="none"/>
                <w:lang w:val="en-US" w:eastAsia="zh-CN"/>
              </w:rPr>
              <w:t>国家6000+医院16800</w:t>
            </w:r>
          </w:p>
        </w:tc>
      </w:tr>
    </w:tbl>
    <w:p>
      <w:pPr>
        <w:pStyle w:val="2"/>
        <w:spacing w:line="316" w:lineRule="auto"/>
        <w:ind w:left="21" w:leftChars="0" w:right="275" w:hanging="21" w:hangingChars="9"/>
        <w:jc w:val="center"/>
        <w:rPr>
          <w:rFonts w:hint="eastAsia" w:ascii="黑体" w:hAnsi="黑体" w:eastAsia="黑体" w:cs="黑体"/>
          <w:spacing w:val="1"/>
          <w:sz w:val="24"/>
          <w:szCs w:val="24"/>
          <w:highlight w:val="none"/>
          <w:lang w:eastAsia="zh-CN"/>
        </w:rPr>
      </w:pP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r>
        <w:rPr>
          <w:rFonts w:hint="eastAsia" w:ascii="黑体" w:hAnsi="黑体" w:eastAsia="黑体" w:cs="黑体"/>
          <w:spacing w:val="1"/>
          <w:sz w:val="24"/>
          <w:szCs w:val="24"/>
          <w:highlight w:val="none"/>
          <w:lang w:val="zh-CN" w:eastAsia="zh-CN"/>
        </w:rPr>
        <w:t>第四章</w:t>
      </w:r>
      <w:r>
        <w:rPr>
          <w:rFonts w:hint="eastAsia" w:ascii="黑体" w:hAnsi="黑体" w:eastAsia="黑体" w:cs="黑体"/>
          <w:spacing w:val="1"/>
          <w:sz w:val="24"/>
          <w:szCs w:val="24"/>
          <w:highlight w:val="none"/>
          <w:lang w:val="en-US" w:eastAsia="zh-CN"/>
        </w:rPr>
        <w:t xml:space="preserve">  </w:t>
      </w:r>
      <w:r>
        <w:rPr>
          <w:rFonts w:hint="eastAsia" w:ascii="黑体" w:hAnsi="黑体" w:eastAsia="黑体" w:cs="黑体"/>
          <w:spacing w:val="1"/>
          <w:sz w:val="24"/>
          <w:szCs w:val="24"/>
          <w:highlight w:val="none"/>
          <w:lang w:val="zh-CN" w:eastAsia="zh-CN"/>
        </w:rPr>
        <w:t>评选条件</w:t>
      </w:r>
    </w:p>
    <w:p>
      <w:pPr>
        <w:pStyle w:val="2"/>
        <w:spacing w:line="316" w:lineRule="auto"/>
        <w:ind w:right="275" w:firstLine="424" w:firstLineChars="200"/>
        <w:jc w:val="both"/>
        <w:rPr>
          <w:rFonts w:hint="eastAsia"/>
          <w:spacing w:val="1"/>
          <w:sz w:val="21"/>
          <w:szCs w:val="21"/>
          <w:highlight w:val="none"/>
          <w:lang w:eastAsia="zh-CN"/>
        </w:rPr>
      </w:pPr>
      <w:r>
        <w:rPr>
          <w:rFonts w:hint="eastAsia" w:ascii="黑体" w:hAnsi="黑体" w:eastAsia="黑体" w:cs="黑体"/>
          <w:spacing w:val="1"/>
          <w:kern w:val="2"/>
          <w:sz w:val="21"/>
          <w:szCs w:val="21"/>
          <w:highlight w:val="none"/>
          <w:lang w:val="zh-CN" w:eastAsia="zh-CN" w:bidi="zh-CN"/>
        </w:rPr>
        <w:t>第四条</w:t>
      </w:r>
      <w:r>
        <w:rPr>
          <w:rFonts w:hint="eastAsia" w:ascii="黑体" w:hAnsi="黑体" w:eastAsia="黑体" w:cs="黑体"/>
          <w:spacing w:val="1"/>
          <w:kern w:val="2"/>
          <w:sz w:val="21"/>
          <w:szCs w:val="21"/>
          <w:highlight w:val="none"/>
          <w:lang w:val="en-US" w:eastAsia="zh-CN" w:bidi="zh-CN"/>
        </w:rPr>
        <w:t xml:space="preserve">  </w:t>
      </w:r>
      <w:r>
        <w:rPr>
          <w:rFonts w:hint="eastAsia"/>
          <w:spacing w:val="1"/>
          <w:sz w:val="21"/>
          <w:szCs w:val="21"/>
          <w:highlight w:val="none"/>
          <w:lang w:val="en-US" w:eastAsia="zh-CN"/>
        </w:rPr>
        <w:t>所有</w:t>
      </w:r>
      <w:r>
        <w:rPr>
          <w:rFonts w:hint="eastAsia"/>
          <w:spacing w:val="1"/>
          <w:sz w:val="21"/>
          <w:szCs w:val="21"/>
          <w:highlight w:val="none"/>
          <w:lang w:eastAsia="zh-CN"/>
        </w:rPr>
        <w:t>研究生奖学金申请基本条件：</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（一）热爱社会主义祖国，拥护中国共产党的领导；</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（二）遵守宪法和法律，遵守学校规章制度；</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（三）诚实守信，品学兼优；</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（四）积极参与科学研究和社会实践。</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（五）学习成绩优异，加权平均绩点达到</w:t>
      </w:r>
      <w:r>
        <w:rPr>
          <w:rFonts w:hint="eastAsia" w:ascii="宋体" w:hAnsi="宋体" w:eastAsia="宋体" w:cs="宋体"/>
          <w:spacing w:val="1"/>
          <w:sz w:val="21"/>
          <w:szCs w:val="21"/>
          <w:highlight w:val="none"/>
          <w:lang w:val="en-US" w:eastAsia="zh-CN"/>
        </w:rPr>
        <w:t>3.0以上。</w:t>
      </w:r>
    </w:p>
    <w:p>
      <w:pPr>
        <w:pStyle w:val="2"/>
        <w:spacing w:line="316" w:lineRule="auto"/>
        <w:ind w:right="275" w:firstLine="424" w:firstLineChars="200"/>
        <w:jc w:val="both"/>
        <w:rPr>
          <w:rFonts w:hint="eastAsia"/>
          <w:spacing w:val="1"/>
          <w:sz w:val="21"/>
          <w:szCs w:val="21"/>
          <w:highlight w:val="none"/>
          <w:lang w:eastAsia="zh-CN"/>
        </w:rPr>
      </w:pPr>
      <w:r>
        <w:rPr>
          <w:rFonts w:hint="eastAsia" w:ascii="黑体" w:hAnsi="黑体" w:eastAsia="黑体" w:cs="黑体"/>
          <w:spacing w:val="1"/>
          <w:kern w:val="2"/>
          <w:sz w:val="21"/>
          <w:szCs w:val="21"/>
          <w:highlight w:val="none"/>
          <w:lang w:val="zh-CN" w:eastAsia="zh-CN" w:bidi="zh-CN"/>
        </w:rPr>
        <w:t>第五条</w:t>
      </w:r>
      <w:r>
        <w:rPr>
          <w:rFonts w:hint="eastAsia"/>
          <w:spacing w:val="1"/>
          <w:sz w:val="21"/>
          <w:szCs w:val="21"/>
          <w:highlight w:val="none"/>
          <w:lang w:val="en-US" w:eastAsia="zh-CN"/>
        </w:rPr>
        <w:t xml:space="preserve">  </w:t>
      </w:r>
      <w:r>
        <w:rPr>
          <w:rFonts w:hint="eastAsia"/>
          <w:spacing w:val="1"/>
          <w:sz w:val="21"/>
          <w:szCs w:val="21"/>
          <w:highlight w:val="none"/>
          <w:lang w:eastAsia="zh-CN"/>
        </w:rPr>
        <w:t>研究生出现下列情况之一的，不能参评研究生奖学金：</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val="en-US" w:eastAsia="zh-CN"/>
        </w:rPr>
        <w:t>（一）</w:t>
      </w:r>
      <w:r>
        <w:rPr>
          <w:rFonts w:hint="eastAsia" w:ascii="宋体" w:hAnsi="宋体" w:eastAsia="宋体" w:cs="宋体"/>
          <w:spacing w:val="1"/>
          <w:sz w:val="21"/>
          <w:szCs w:val="21"/>
          <w:highlight w:val="none"/>
          <w:lang w:eastAsia="zh-CN"/>
        </w:rPr>
        <w:t>未按期完成培养方案所规定的学位课程（指：公共学位课、学科基础课、专业课，下同）学分要求者；</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（二）参评时学位课程考试不及格者，本办法及附件另有规定的除外；</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（三）未按期完成研究生学位论文开题报告、博士生资格考试或博士生中期考核者；</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（四）本学年未按时注册者；</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（五）参评学年学籍状态处于休学、保留学籍者；</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（六）上学年违反国家法律、校纪校规受到纪律处分者；</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（七）上学年有抄袭剽窃、弄虚作假等学术不端行为经查证属实者；</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（八）上学年在科学研究和实验工作、临床实践中造成重大事故及损失者；</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（九）上学年存在其他损害学校声誉的不当行为者；</w:t>
      </w:r>
    </w:p>
    <w:p>
      <w:pPr>
        <w:pStyle w:val="2"/>
        <w:numPr>
          <w:ilvl w:val="0"/>
          <w:numId w:val="0"/>
        </w:numPr>
        <w:spacing w:line="316" w:lineRule="auto"/>
        <w:ind w:left="19" w:leftChars="0" w:right="275" w:rightChars="0" w:hanging="19" w:hangingChars="9"/>
        <w:jc w:val="both"/>
        <w:rPr>
          <w:rFonts w:hint="eastAsia" w:ascii="黑体" w:hAnsi="黑体" w:eastAsia="黑体" w:cs="黑体"/>
          <w:spacing w:val="1"/>
          <w:kern w:val="2"/>
          <w:sz w:val="21"/>
          <w:szCs w:val="21"/>
          <w:highlight w:val="none"/>
          <w:lang w:val="en-US" w:eastAsia="zh-CN" w:bidi="zh-CN"/>
        </w:rPr>
      </w:pPr>
    </w:p>
    <w:p>
      <w:pPr>
        <w:pStyle w:val="2"/>
        <w:numPr>
          <w:ilvl w:val="0"/>
          <w:numId w:val="0"/>
        </w:numPr>
        <w:spacing w:line="316" w:lineRule="auto"/>
        <w:ind w:right="275" w:rightChars="0" w:firstLine="424" w:firstLineChars="200"/>
        <w:jc w:val="both"/>
        <w:rPr>
          <w:rFonts w:hint="eastAsia" w:ascii="宋体" w:hAnsi="宋体" w:eastAsia="宋体" w:cs="宋体"/>
          <w:spacing w:val="1"/>
          <w:sz w:val="21"/>
          <w:szCs w:val="21"/>
          <w:highlight w:val="none"/>
          <w:lang w:val="en-US" w:eastAsia="zh-CN"/>
        </w:rPr>
      </w:pPr>
      <w:r>
        <w:rPr>
          <w:rFonts w:hint="eastAsia" w:ascii="黑体" w:hAnsi="黑体" w:eastAsia="黑体" w:cs="黑体"/>
          <w:spacing w:val="1"/>
          <w:kern w:val="2"/>
          <w:sz w:val="21"/>
          <w:szCs w:val="21"/>
          <w:highlight w:val="none"/>
          <w:lang w:val="en-US" w:eastAsia="zh-CN" w:bidi="zh-CN"/>
        </w:rPr>
        <w:t xml:space="preserve">第六条 </w:t>
      </w:r>
      <w:r>
        <w:rPr>
          <w:rFonts w:hint="eastAsia"/>
          <w:spacing w:val="1"/>
          <w:sz w:val="21"/>
          <w:szCs w:val="21"/>
          <w:highlight w:val="none"/>
          <w:lang w:val="en-US" w:eastAsia="zh-CN"/>
        </w:rPr>
        <w:t xml:space="preserve"> </w:t>
      </w:r>
      <w:r>
        <w:rPr>
          <w:rFonts w:hint="eastAsia" w:ascii="宋体" w:hAnsi="宋体" w:eastAsia="宋体" w:cs="宋体"/>
          <w:spacing w:val="1"/>
          <w:sz w:val="21"/>
          <w:szCs w:val="21"/>
          <w:highlight w:val="none"/>
          <w:lang w:val="en-US" w:eastAsia="zh-CN"/>
        </w:rPr>
        <w:t>研究生校长奖学金评选条件：</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学习成绩优异，科研能力突出，攻读学位期间已取得重要学术价值科研成果，理论或技术上有重大创新。在读期间，与所学专业相关的</w:t>
      </w:r>
      <w:r>
        <w:rPr>
          <w:rFonts w:hint="eastAsia" w:cs="宋体"/>
          <w:spacing w:val="1"/>
          <w:sz w:val="21"/>
          <w:szCs w:val="21"/>
          <w:highlight w:val="none"/>
          <w:lang w:eastAsia="zh-CN"/>
        </w:rPr>
        <w:t>创新</w:t>
      </w:r>
      <w:r>
        <w:rPr>
          <w:rFonts w:hint="eastAsia" w:ascii="宋体" w:hAnsi="宋体" w:eastAsia="宋体" w:cs="宋体"/>
          <w:spacing w:val="1"/>
          <w:sz w:val="21"/>
          <w:szCs w:val="21"/>
          <w:highlight w:val="none"/>
          <w:lang w:eastAsia="zh-CN"/>
        </w:rPr>
        <w:t>成果须满足以下基本条件之一：</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卓越奖和拔尖奖：1.发表论文须中南大学为第一署名单位，研究生本人为第一作者；2.发表论文除Nature中的letter外，只限Ａrticle；3.专利需以中南大学为第一完成单位，研究生本人为第一申请人。</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卓越奖：</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1.在Nature、Science、Cell一流学术期刊发表论文1篇；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2.学校认定的人文社会科学类A1类期刊发表论文1篇；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3.单项专利转让1000万以上或2个PCT国际授权专利。</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拔尖奖：</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1.人文社科类等学科专业须在B级及以上期刊发表论文2篇（其中A级期刊发表论文1篇）；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 xml:space="preserve">医学学科专业须在B级及以上期刊发表论文2篇（其中A级期刊发表论文1篇）； </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2.ESI前1‰高被引论文发表1篇；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3.单项专利转让300万以上或1个PCT国际授权专利。</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创新奖：</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1.以中南大学为第一署名单位，以第一作者或导师为第一作者、研究生为第二作者已发表学术论文（除Ｎature中的letter外，只限Article）的基本要求：</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人文社科类学科专业须在A级期刊发表论文1篇，或B、C级期刊发表论文2篇（其中B级期刊发表论文1篇）；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医学学科专业须在A级期刊发表论文1篇，或B、C级期刊发表论文2篇（其中B级期刊发表论文1篇）；或中国计算机学会认定的Ａ类会议论文1篇；</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2.以中南大学为第一完成单位且研究生本人以第一申请人（或导师为第一申请人，研究生为第二申请人）获得国家授权发明专利2项；</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3.获国际、国家级学科竞赛一等奖以上奖励，排名前二；</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4.获国家自然科学奖、国家技术发明奖、国家科技进步奖、高等学校科学研究优秀成果奖（人文社会科学）或省部级科技奖一等奖，排名前七；</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5.以第一完成人（或导师第一，个人排名第二）完成著作或专著1部；</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6.获得省部级以上作品（含文学、艺术、美术等作品）创作奖二等奖及以上（个人排名第一；或导师第一，个人排名第二）；</w:t>
      </w:r>
    </w:p>
    <w:p>
      <w:pPr>
        <w:spacing w:line="540" w:lineRule="exact"/>
        <w:ind w:firstLine="424" w:firstLineChars="200"/>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7.作为主要成员（个人排名前六）提交的咨询报告（研究报告）产生重大影响或被省部级行政部门采纳；</w:t>
      </w:r>
    </w:p>
    <w:p>
      <w:pPr>
        <w:spacing w:line="540" w:lineRule="exact"/>
        <w:ind w:firstLine="424" w:firstLineChars="200"/>
        <w:rPr>
          <w:rFonts w:hint="eastAsia" w:ascii="宋体" w:hAnsi="宋体" w:eastAsia="宋体" w:cs="宋体"/>
          <w:kern w:val="0"/>
          <w:sz w:val="21"/>
          <w:szCs w:val="21"/>
          <w:highlight w:val="none"/>
        </w:rPr>
      </w:pPr>
      <w:r>
        <w:rPr>
          <w:rFonts w:hint="eastAsia" w:ascii="宋体" w:hAnsi="宋体" w:eastAsia="宋体" w:cs="宋体"/>
          <w:spacing w:val="1"/>
          <w:kern w:val="2"/>
          <w:sz w:val="21"/>
          <w:szCs w:val="21"/>
          <w:highlight w:val="none"/>
          <w:lang w:val="zh-CN" w:eastAsia="zh-CN" w:bidi="zh-CN"/>
        </w:rPr>
        <w:t>8.作出特殊贡献，取得突出社会或经济效益。</w:t>
      </w:r>
    </w:p>
    <w:p>
      <w:pPr>
        <w:pStyle w:val="2"/>
        <w:spacing w:line="316" w:lineRule="auto"/>
        <w:ind w:left="19" w:leftChars="0" w:right="275" w:hanging="19" w:hangingChars="9"/>
        <w:jc w:val="both"/>
        <w:rPr>
          <w:rFonts w:hint="eastAsia"/>
          <w:spacing w:val="1"/>
          <w:sz w:val="21"/>
          <w:szCs w:val="21"/>
          <w:highlight w:val="none"/>
          <w:lang w:eastAsia="zh-CN"/>
        </w:rPr>
      </w:pPr>
    </w:p>
    <w:p>
      <w:pPr>
        <w:pStyle w:val="2"/>
        <w:numPr>
          <w:ilvl w:val="0"/>
          <w:numId w:val="0"/>
        </w:numPr>
        <w:spacing w:line="316" w:lineRule="auto"/>
        <w:ind w:leftChars="-9" w:right="275" w:rightChars="0" w:firstLine="424" w:firstLineChars="200"/>
        <w:jc w:val="both"/>
        <w:rPr>
          <w:rFonts w:hint="eastAsia"/>
          <w:spacing w:val="1"/>
          <w:sz w:val="21"/>
          <w:szCs w:val="21"/>
          <w:highlight w:val="none"/>
          <w:lang w:val="en-US" w:eastAsia="zh-CN"/>
        </w:rPr>
      </w:pPr>
      <w:r>
        <w:rPr>
          <w:rFonts w:hint="eastAsia" w:ascii="黑体" w:hAnsi="黑体" w:eastAsia="黑体" w:cs="黑体"/>
          <w:spacing w:val="1"/>
          <w:kern w:val="2"/>
          <w:sz w:val="21"/>
          <w:szCs w:val="21"/>
          <w:highlight w:val="none"/>
          <w:lang w:val="en-US" w:eastAsia="zh-CN" w:bidi="zh-CN"/>
        </w:rPr>
        <w:t xml:space="preserve">第七条  </w:t>
      </w:r>
      <w:r>
        <w:rPr>
          <w:rFonts w:hint="eastAsia"/>
          <w:spacing w:val="1"/>
          <w:sz w:val="21"/>
          <w:szCs w:val="21"/>
          <w:highlight w:val="none"/>
          <w:lang w:eastAsia="zh-CN"/>
        </w:rPr>
        <w:t>国家奖学金评选条件</w:t>
      </w:r>
      <w:r>
        <w:rPr>
          <w:rFonts w:hint="eastAsia"/>
          <w:spacing w:val="1"/>
          <w:sz w:val="21"/>
          <w:szCs w:val="21"/>
          <w:highlight w:val="none"/>
          <w:lang w:val="en-US" w:eastAsia="zh-CN"/>
        </w:rPr>
        <w:t>:</w:t>
      </w:r>
    </w:p>
    <w:p>
      <w:pPr>
        <w:pStyle w:val="2"/>
        <w:numPr>
          <w:ilvl w:val="0"/>
          <w:numId w:val="0"/>
        </w:numPr>
        <w:spacing w:line="316" w:lineRule="auto"/>
        <w:ind w:right="275" w:rightChars="0" w:firstLine="424" w:firstLineChars="200"/>
        <w:jc w:val="both"/>
        <w:rPr>
          <w:rFonts w:hint="eastAsia"/>
          <w:spacing w:val="1"/>
          <w:sz w:val="21"/>
          <w:szCs w:val="21"/>
          <w:highlight w:val="none"/>
          <w:lang w:val="en-US" w:eastAsia="zh-CN"/>
        </w:rPr>
      </w:pPr>
      <w:r>
        <w:rPr>
          <w:rFonts w:hint="eastAsia" w:ascii="宋体" w:hAnsi="宋体" w:eastAsia="宋体" w:cs="宋体"/>
          <w:spacing w:val="1"/>
          <w:sz w:val="21"/>
          <w:szCs w:val="21"/>
          <w:highlight w:val="none"/>
          <w:lang w:eastAsia="zh-CN"/>
        </w:rPr>
        <w:t>学习成绩优异，科研能力突出</w:t>
      </w:r>
      <w:r>
        <w:rPr>
          <w:rFonts w:hint="eastAsia" w:cs="宋体"/>
          <w:spacing w:val="1"/>
          <w:sz w:val="21"/>
          <w:szCs w:val="21"/>
          <w:highlight w:val="none"/>
          <w:lang w:eastAsia="zh-CN"/>
        </w:rPr>
        <w:t>，创新成果须满足以下基本要求之一：</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（一）博士研究生</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1.以中南大学为第一署名单位，以第一作者或导师为第一作者、研究生为第二作者已发表学术论文（除Ｎature中的letter外，只限Article）的基本要求：</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人文社科类等学科专业须在A级期刊发表论文1篇；或B级期刊发表论文2篇。</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医</w:t>
      </w:r>
      <w:r>
        <w:rPr>
          <w:rFonts w:hint="eastAsia" w:ascii="宋体" w:hAnsi="宋体" w:eastAsia="宋体" w:cs="宋体"/>
          <w:sz w:val="21"/>
          <w:szCs w:val="21"/>
          <w:highlight w:val="none"/>
          <w:lang w:eastAsia="zh-CN"/>
        </w:rPr>
        <w:t>学</w:t>
      </w:r>
      <w:r>
        <w:rPr>
          <w:rFonts w:hint="eastAsia" w:ascii="宋体" w:hAnsi="宋体" w:eastAsia="宋体" w:cs="宋体"/>
          <w:sz w:val="21"/>
          <w:szCs w:val="21"/>
          <w:highlight w:val="none"/>
        </w:rPr>
        <w:t>学科专业须在A级期刊发表论文1篇；或B级期刊发表论文2篇；或中国计算机学会认定的Ａ类会议论文1篇。</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2.以中南大学为第一完成单位且研究生本人以第一申请人（或导师为第一申请人，研究生为第二申请人）授权国家发明专利2项。</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3.获国际、国家级学科竞赛一等奖以上奖励，排名第一。</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4.获国家自然科学奖、国家技术发明奖、国家科技进步奖、高等学校科学研究优秀成果奖（人文社会科学）或省部级科技奖一等奖，排名前五。</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5.以第一完成人完成著作或专著1部。</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6.获得省部级以上作品（含文学、艺术、美术等作品）创作奖一等奖（个人排名第一；或导师第一，个人排名第二）。</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7.作为主要成员（个人排名前五）提交的咨询报告（研究报告）产生重大影响或被省部级行政部门采纳。</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8.作出特殊贡献，取得突出社会或经济效益。</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（二）硕士研究生</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1.以中南大学为第一署名单位，以第一作者或导师为第一作者、研究生为第二作者已发表学术论文（除Ｎature中的letter外，只限Article）的基本要求：</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人文社科类等学科专业须在SCI、SSCI或A&amp;HCI期刊，或C级及以上期刊发表论文1篇。</w:t>
      </w:r>
    </w:p>
    <w:p>
      <w:pPr>
        <w:spacing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医学</w:t>
      </w:r>
      <w:r>
        <w:rPr>
          <w:rFonts w:hint="eastAsia" w:ascii="宋体" w:hAnsi="宋体" w:eastAsia="宋体" w:cs="宋体"/>
          <w:sz w:val="21"/>
          <w:szCs w:val="21"/>
          <w:highlight w:val="none"/>
        </w:rPr>
        <w:t>学科专业须在SCI收录期刊或B级及以上期刊发表论文1篇，或EI收录期刊、C级及以上期刊发表论文2篇，或中国计算机学会认定的Ｂ类及以上会议论文1篇。</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2.以中南大学为第一完成单位且研究生本人以第一申请人（或导师为第一申请人，研究生为第二申请人）授权国家发明专利1项。</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3.获国际、国家级学科竞赛二等及以上奖励，排名第一。</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4.获省部级科技奖二等及以上奖励，排名前五。</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5.以第一完成人（或导师第一，个人排名第二）完成著作或专著1部。</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6.获得省部级以上作品（含文学、艺术、美术等作品）创作奖三等奖及以上（个人排名第一；或导师第一，个人排名第二）。</w:t>
      </w:r>
    </w:p>
    <w:p>
      <w:pPr>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7.作为主要成员（个人排名前八）提交的咨询报告（研究报告）产生重大影响或被省部级行政部门采纳。</w:t>
      </w:r>
    </w:p>
    <w:p>
      <w:pPr>
        <w:pStyle w:val="2"/>
        <w:numPr>
          <w:ilvl w:val="0"/>
          <w:numId w:val="0"/>
        </w:numPr>
        <w:spacing w:line="360" w:lineRule="auto"/>
        <w:ind w:right="275" w:rightChars="0" w:firstLine="420" w:firstLineChars="200"/>
        <w:jc w:val="both"/>
        <w:rPr>
          <w:rFonts w:hint="eastAsia" w:ascii="宋体" w:hAnsi="宋体" w:eastAsia="宋体" w:cs="宋体"/>
          <w:spacing w:val="1"/>
          <w:sz w:val="21"/>
          <w:szCs w:val="21"/>
          <w:highlight w:val="none"/>
          <w:lang w:val="en-US" w:eastAsia="zh-CN"/>
        </w:rPr>
      </w:pPr>
      <w:r>
        <w:rPr>
          <w:rFonts w:hint="eastAsia" w:ascii="宋体" w:hAnsi="宋体" w:eastAsia="宋体" w:cs="宋体"/>
          <w:sz w:val="21"/>
          <w:szCs w:val="21"/>
          <w:highlight w:val="none"/>
        </w:rPr>
        <w:t>8.作出特殊贡献，取得突出社会或经济效益。</w:t>
      </w:r>
      <w:r>
        <w:rPr>
          <w:rFonts w:hint="eastAsia" w:ascii="宋体" w:hAnsi="宋体" w:eastAsia="宋体" w:cs="宋体"/>
          <w:color w:val="333333"/>
          <w:kern w:val="0"/>
          <w:sz w:val="21"/>
          <w:szCs w:val="21"/>
          <w:highlight w:val="none"/>
          <w:lang w:val="en-US" w:eastAsia="zh-CN"/>
        </w:rPr>
        <w:t xml:space="preserve">  </w:t>
      </w:r>
      <w:r>
        <w:rPr>
          <w:rFonts w:hint="eastAsia" w:ascii="宋体" w:hAnsi="宋体" w:eastAsia="宋体" w:cs="宋体"/>
          <w:spacing w:val="1"/>
          <w:sz w:val="21"/>
          <w:szCs w:val="21"/>
          <w:highlight w:val="none"/>
          <w:lang w:val="en-US" w:eastAsia="zh-CN"/>
        </w:rPr>
        <w:t xml:space="preserve">     </w:t>
      </w:r>
    </w:p>
    <w:p>
      <w:pPr>
        <w:pStyle w:val="2"/>
        <w:numPr>
          <w:ilvl w:val="0"/>
          <w:numId w:val="0"/>
        </w:numPr>
        <w:spacing w:line="316" w:lineRule="auto"/>
        <w:ind w:right="275" w:rightChars="0"/>
        <w:jc w:val="both"/>
        <w:rPr>
          <w:rFonts w:hint="eastAsia" w:ascii="黑体" w:hAnsi="黑体" w:eastAsia="黑体" w:cs="黑体"/>
          <w:spacing w:val="1"/>
          <w:kern w:val="2"/>
          <w:sz w:val="21"/>
          <w:szCs w:val="21"/>
          <w:highlight w:val="none"/>
          <w:lang w:val="en-US" w:eastAsia="zh-CN" w:bidi="zh-CN"/>
        </w:rPr>
      </w:pPr>
    </w:p>
    <w:p>
      <w:pPr>
        <w:pStyle w:val="2"/>
        <w:numPr>
          <w:ilvl w:val="0"/>
          <w:numId w:val="0"/>
        </w:numPr>
        <w:spacing w:line="316" w:lineRule="auto"/>
        <w:ind w:right="275" w:rightChars="0" w:firstLine="424" w:firstLineChars="200"/>
        <w:jc w:val="both"/>
        <w:rPr>
          <w:rFonts w:hint="eastAsia"/>
          <w:spacing w:val="1"/>
          <w:sz w:val="21"/>
          <w:szCs w:val="21"/>
          <w:highlight w:val="none"/>
          <w:lang w:val="en-US" w:eastAsia="zh-CN"/>
        </w:rPr>
      </w:pPr>
      <w:r>
        <w:rPr>
          <w:rFonts w:hint="eastAsia" w:ascii="黑体" w:hAnsi="黑体" w:eastAsia="黑体" w:cs="黑体"/>
          <w:spacing w:val="1"/>
          <w:kern w:val="2"/>
          <w:sz w:val="21"/>
          <w:szCs w:val="21"/>
          <w:highlight w:val="none"/>
          <w:lang w:val="en-US" w:eastAsia="zh-CN" w:bidi="zh-CN"/>
        </w:rPr>
        <w:t xml:space="preserve">第八条  </w:t>
      </w:r>
      <w:r>
        <w:rPr>
          <w:rFonts w:hint="eastAsia"/>
          <w:spacing w:val="1"/>
          <w:sz w:val="21"/>
          <w:szCs w:val="21"/>
          <w:highlight w:val="none"/>
          <w:lang w:val="en-US" w:eastAsia="zh-CN"/>
        </w:rPr>
        <w:t>校级奖励金评选条件：（见</w:t>
      </w:r>
      <w:r>
        <w:rPr>
          <w:rFonts w:hint="eastAsia" w:ascii="宋体" w:hAnsi="宋体" w:eastAsia="宋体" w:cs="宋体"/>
          <w:sz w:val="21"/>
          <w:szCs w:val="21"/>
          <w:highlight w:val="none"/>
        </w:rPr>
        <w:t>校级奖励金委员会</w:t>
      </w:r>
      <w:r>
        <w:rPr>
          <w:rFonts w:hint="eastAsia" w:ascii="宋体" w:hAnsi="宋体" w:eastAsia="宋体" w:cs="宋体"/>
          <w:sz w:val="21"/>
          <w:szCs w:val="21"/>
          <w:highlight w:val="none"/>
          <w:lang w:eastAsia="zh-CN"/>
        </w:rPr>
        <w:t>通知</w:t>
      </w:r>
      <w:r>
        <w:rPr>
          <w:rFonts w:hint="eastAsia"/>
          <w:spacing w:val="1"/>
          <w:sz w:val="21"/>
          <w:szCs w:val="21"/>
          <w:highlight w:val="none"/>
          <w:lang w:val="en-US" w:eastAsia="zh-CN"/>
        </w:rPr>
        <w:t>）</w:t>
      </w:r>
    </w:p>
    <w:p>
      <w:pPr>
        <w:pStyle w:val="2"/>
        <w:spacing w:line="316" w:lineRule="auto"/>
        <w:ind w:right="275"/>
        <w:jc w:val="both"/>
        <w:rPr>
          <w:rFonts w:hint="eastAsia"/>
          <w:spacing w:val="1"/>
          <w:sz w:val="21"/>
          <w:szCs w:val="21"/>
          <w:highlight w:val="none"/>
          <w:lang w:eastAsia="zh-CN"/>
        </w:rPr>
      </w:pPr>
    </w:p>
    <w:p>
      <w:pPr>
        <w:pStyle w:val="2"/>
        <w:numPr>
          <w:ilvl w:val="0"/>
          <w:numId w:val="0"/>
        </w:numPr>
        <w:spacing w:line="316" w:lineRule="auto"/>
        <w:ind w:right="275" w:rightChars="0" w:firstLine="424" w:firstLineChars="200"/>
        <w:jc w:val="both"/>
        <w:rPr>
          <w:rFonts w:hint="eastAsia" w:ascii="宋体" w:hAnsi="宋体" w:eastAsia="宋体" w:cs="宋体"/>
          <w:spacing w:val="1"/>
          <w:sz w:val="21"/>
          <w:szCs w:val="21"/>
          <w:highlight w:val="none"/>
          <w:lang w:val="en-US" w:eastAsia="zh-CN"/>
        </w:rPr>
      </w:pPr>
      <w:r>
        <w:rPr>
          <w:rFonts w:hint="eastAsia" w:ascii="黑体" w:hAnsi="黑体" w:eastAsia="黑体" w:cs="黑体"/>
          <w:spacing w:val="1"/>
          <w:kern w:val="2"/>
          <w:sz w:val="21"/>
          <w:szCs w:val="21"/>
          <w:highlight w:val="none"/>
          <w:lang w:val="en-US" w:eastAsia="zh-CN" w:bidi="zh-CN"/>
        </w:rPr>
        <w:t>第九条</w:t>
      </w:r>
      <w:r>
        <w:rPr>
          <w:rFonts w:hint="eastAsia"/>
          <w:spacing w:val="1"/>
          <w:sz w:val="21"/>
          <w:szCs w:val="21"/>
          <w:highlight w:val="none"/>
          <w:lang w:val="en-US" w:eastAsia="zh-CN"/>
        </w:rPr>
        <w:t xml:space="preserve">  </w:t>
      </w:r>
      <w:r>
        <w:rPr>
          <w:rFonts w:hint="eastAsia" w:ascii="宋体" w:hAnsi="宋体" w:eastAsia="宋体" w:cs="宋体"/>
          <w:spacing w:val="1"/>
          <w:sz w:val="21"/>
          <w:szCs w:val="21"/>
          <w:highlight w:val="none"/>
          <w:lang w:val="en-US" w:eastAsia="zh-CN"/>
        </w:rPr>
        <w:t>研究生学业奖学金的评定条件：</w:t>
      </w:r>
    </w:p>
    <w:p>
      <w:pPr>
        <w:pStyle w:val="2"/>
        <w:spacing w:line="360"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研究生创新成果须符合学校评定要求。创新成果认定周期为上一年9月1日至当年8月31日（基本学制内最后一学年可延长至申报截止日）。</w:t>
      </w:r>
    </w:p>
    <w:p>
      <w:pPr>
        <w:pStyle w:val="2"/>
        <w:spacing w:line="360"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一等学业奖学金学术成果基本要求：</w:t>
      </w:r>
    </w:p>
    <w:p>
      <w:pPr>
        <w:pStyle w:val="2"/>
        <w:spacing w:line="360"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（一）博士研究生</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学年度创新成果须满足以下基本条件之一：</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1.以中南大学为第一署名单位，以第一作者或导师为第一作者、研究生为第二作者已发表（在线发表即可视为正式发表，下同）学术论文的基本要求：</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学术论文：学校核定的一级学科重要期刊目录A、B、C级期刊（包括SCI、SSCI或A&amp;HCI英文期刊Q1、Q2、Q3、Q4区和中文类重要期刊顶尖和权威、核心级期刊，下同）发表。</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人文社科类等学科专业（哲学、经济学、法学、教育学、文学、管理学、艺术学，下同）须在B级及以上期刊发表论文1篇，或C级期刊发表论文2篇。</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医学学科专业须在B级及以上期刊发表论文1篇；或C级期刊发表论文2篇；或中国计算机学会认定的B类及以上会议论文1篇。</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2.以中南大学为第一完成单位且研究生本人以第一申请人（或导师为第一申请人，研究生为第二申请人）授权国家发明专利1项。</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3.获国际、国家级学科竞赛一等奖以上奖励，且排名前三。</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4.获国家自然科学奖、国家技术发明奖和国家科技进步奖、高等学校科学研究优秀成果奖（人文社会科学）或省部级科技奖一等奖，且有证书。</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5.以主要完成人完成著作或专著1部；</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6.获得省部级及以上作品（含文学、艺术、美术等作品）创作奖二等奖及以上（个人排名前三）。</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7.作为主要成员（个人排名前七）提交的咨询报告（或研究报告）产生重大影响或被省部级行政部门采纳。</w:t>
      </w:r>
    </w:p>
    <w:p>
      <w:pPr>
        <w:pStyle w:val="2"/>
        <w:spacing w:line="360" w:lineRule="auto"/>
        <w:ind w:left="15" w:leftChars="7" w:right="275" w:firstLine="602" w:firstLineChars="284"/>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8.做出特殊贡献，取得突出社会或经济效益。</w:t>
      </w:r>
    </w:p>
    <w:p>
      <w:pPr>
        <w:pStyle w:val="2"/>
        <w:spacing w:line="360"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（二）硕士研究生</w:t>
      </w:r>
    </w:p>
    <w:p>
      <w:pPr>
        <w:pStyle w:val="2"/>
        <w:spacing w:line="360" w:lineRule="auto"/>
        <w:ind w:right="275" w:firstLine="424" w:firstLineChars="200"/>
        <w:jc w:val="both"/>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SA"/>
        </w:rPr>
        <w:t>学年度创新成果须满足以下基本条件之一：</w:t>
      </w:r>
    </w:p>
    <w:p>
      <w:pPr>
        <w:pStyle w:val="2"/>
        <w:spacing w:line="360" w:lineRule="auto"/>
        <w:ind w:right="275" w:firstLine="424" w:firstLineChars="200"/>
        <w:jc w:val="both"/>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SA"/>
        </w:rPr>
        <w:t>1.以中南大学为第一署名单位，以第一作者或导师为第一作者、研究生为第二作者已发表学术论文的基本要求：</w:t>
      </w:r>
    </w:p>
    <w:p>
      <w:pPr>
        <w:spacing w:line="360" w:lineRule="auto"/>
        <w:ind w:firstLine="424" w:firstLineChars="200"/>
        <w:jc w:val="left"/>
        <w:rPr>
          <w:rFonts w:hint="eastAsia" w:ascii="宋体" w:hAnsi="宋体" w:eastAsia="宋体" w:cs="宋体"/>
          <w:spacing w:val="1"/>
          <w:kern w:val="2"/>
          <w:sz w:val="21"/>
          <w:szCs w:val="21"/>
          <w:highlight w:val="none"/>
          <w:lang w:val="en-US" w:eastAsia="zh-CN" w:bidi="ar-SA"/>
        </w:rPr>
      </w:pPr>
      <w:r>
        <w:rPr>
          <w:rFonts w:hint="eastAsia" w:ascii="宋体" w:hAnsi="宋体" w:eastAsia="宋体" w:cs="宋体"/>
          <w:spacing w:val="1"/>
          <w:kern w:val="2"/>
          <w:sz w:val="21"/>
          <w:szCs w:val="21"/>
          <w:highlight w:val="none"/>
          <w:lang w:val="en-US" w:eastAsia="zh-CN" w:bidi="ar-SA"/>
        </w:rPr>
        <w:t>人文社科类等学科专业须在SCI、SSCI或A&amp;HCI、CSSCI或C级及以上期刊发表论文1篇。</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医学学科专业须在SCI、EI收录期刊或C级及以上期刊发表论文1篇；或中国计算机学会认定的Ｃ类及以上会议论文1篇。</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2.以中南大学为第一完成单位且研究生本人以第一申请人（或导师为第一申请人，研究生为第二申请人）授权国家发明专利1项。</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3.获国际、国家级学科竞赛二等奖以上奖励，且排名前三或省级学科竞赛一等奖，排名第一。</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4.获省部级科技奖二等及以上奖励，排名前八。</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5.以参与完成人完成著作或专著1部，或第一完成人（或导师第一，个人排名第二）授权软件著作权1项。</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6.获得省部级以上作品（含文学、艺术、美术等作品）创作奖三等奖以上（个人排名前五）。</w:t>
      </w:r>
    </w:p>
    <w:p>
      <w:pPr>
        <w:spacing w:line="360" w:lineRule="auto"/>
        <w:ind w:firstLine="424" w:firstLineChars="200"/>
        <w:jc w:val="left"/>
        <w:rPr>
          <w:rFonts w:hint="eastAsia" w:ascii="宋体" w:hAnsi="宋体" w:eastAsia="宋体" w:cs="宋体"/>
          <w:spacing w:val="1"/>
          <w:kern w:val="2"/>
          <w:sz w:val="21"/>
          <w:szCs w:val="21"/>
          <w:highlight w:val="none"/>
          <w:lang w:val="zh-CN" w:eastAsia="zh-CN" w:bidi="zh-CN"/>
        </w:rPr>
      </w:pPr>
      <w:r>
        <w:rPr>
          <w:rFonts w:hint="eastAsia" w:ascii="宋体" w:hAnsi="宋体" w:eastAsia="宋体" w:cs="宋体"/>
          <w:spacing w:val="1"/>
          <w:kern w:val="2"/>
          <w:sz w:val="21"/>
          <w:szCs w:val="21"/>
          <w:highlight w:val="none"/>
          <w:lang w:val="zh-CN" w:eastAsia="zh-CN" w:bidi="zh-CN"/>
        </w:rPr>
        <w:t>7.作为主要成员提交的咨询报告（或研究报告）产生重大影响或被省部级行政部门采纳。</w:t>
      </w:r>
    </w:p>
    <w:p>
      <w:pPr>
        <w:pStyle w:val="2"/>
        <w:spacing w:line="360" w:lineRule="auto"/>
        <w:ind w:right="275" w:firstLine="424" w:firstLineChars="200"/>
        <w:jc w:val="both"/>
        <w:rPr>
          <w:rFonts w:hint="eastAsia" w:ascii="宋体" w:hAnsi="宋体" w:eastAsia="宋体" w:cs="宋体"/>
          <w:spacing w:val="1"/>
          <w:kern w:val="2"/>
          <w:sz w:val="21"/>
          <w:szCs w:val="21"/>
          <w:highlight w:val="none"/>
          <w:lang w:val="en-US" w:eastAsia="zh-CN" w:bidi="zh-CN"/>
        </w:rPr>
      </w:pPr>
      <w:r>
        <w:rPr>
          <w:rFonts w:hint="eastAsia" w:ascii="宋体" w:hAnsi="宋体" w:eastAsia="宋体" w:cs="宋体"/>
          <w:spacing w:val="1"/>
          <w:kern w:val="2"/>
          <w:sz w:val="21"/>
          <w:szCs w:val="21"/>
          <w:highlight w:val="none"/>
          <w:lang w:val="zh-CN" w:eastAsia="zh-CN" w:bidi="zh-CN"/>
        </w:rPr>
        <w:t>8.做出突出贡献，取得一定社会或经济效益。</w:t>
      </w:r>
    </w:p>
    <w:p>
      <w:pPr>
        <w:pStyle w:val="2"/>
        <w:spacing w:line="316" w:lineRule="auto"/>
        <w:ind w:left="-602" w:leftChars="-295" w:right="275" w:hanging="17" w:hangingChars="8"/>
        <w:jc w:val="both"/>
        <w:rPr>
          <w:rFonts w:hint="eastAsia" w:ascii="inherit" w:hAnsi="inherit" w:eastAsia="微软雅黑" w:cs="宋体"/>
          <w:b/>
          <w:bCs/>
          <w:color w:val="333333"/>
          <w:kern w:val="0"/>
          <w:sz w:val="21"/>
          <w:szCs w:val="24"/>
          <w:highlight w:val="none"/>
          <w:lang w:val="en-US" w:eastAsia="zh-CN" w:bidi="ar-SA"/>
        </w:rPr>
      </w:pPr>
    </w:p>
    <w:p>
      <w:pPr>
        <w:pStyle w:val="2"/>
        <w:spacing w:line="316" w:lineRule="auto"/>
        <w:ind w:left="-409" w:leftChars="-195" w:right="275" w:firstLine="826" w:firstLineChars="392"/>
        <w:jc w:val="both"/>
        <w:rPr>
          <w:rFonts w:hint="eastAsia" w:ascii="宋体" w:hAnsi="宋体" w:eastAsia="宋体" w:cs="宋体"/>
          <w:spacing w:val="1"/>
          <w:sz w:val="21"/>
          <w:szCs w:val="21"/>
          <w:highlight w:val="none"/>
          <w:lang w:eastAsia="zh-CN"/>
        </w:rPr>
      </w:pPr>
      <w:r>
        <w:rPr>
          <w:rFonts w:hint="eastAsia" w:ascii="黑体" w:hAnsi="黑体" w:eastAsia="黑体" w:cs="黑体"/>
          <w:b/>
          <w:bCs/>
          <w:color w:val="333333"/>
          <w:kern w:val="0"/>
          <w:sz w:val="21"/>
          <w:szCs w:val="21"/>
          <w:highlight w:val="none"/>
          <w:lang w:val="en-US" w:eastAsia="zh-CN" w:bidi="ar-SA"/>
        </w:rPr>
        <w:t>第十条</w:t>
      </w:r>
      <w:r>
        <w:rPr>
          <w:rFonts w:hint="eastAsia" w:ascii="inherit" w:hAnsi="inherit" w:eastAsia="微软雅黑" w:cs="宋体"/>
          <w:b/>
          <w:bCs/>
          <w:color w:val="333333"/>
          <w:kern w:val="0"/>
          <w:sz w:val="21"/>
          <w:szCs w:val="24"/>
          <w:highlight w:val="none"/>
          <w:lang w:val="en-US" w:eastAsia="zh-CN" w:bidi="ar-SA"/>
        </w:rPr>
        <w:t xml:space="preserve"> </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lang w:eastAsia="zh-CN"/>
        </w:rPr>
        <w:t>研究生助学金的基本条件：</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（一）热爱社会主义祖国，拥护中国共产党的领导；</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（二）遵守宪法和法律，遵守学校规章制度；</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（三）综合表现优秀，能按导师和学校要求完成相关的科研和学习任务；</w:t>
      </w:r>
    </w:p>
    <w:p>
      <w:pPr>
        <w:pStyle w:val="2"/>
        <w:spacing w:line="316" w:lineRule="auto"/>
        <w:ind w:right="275" w:firstLine="424" w:firstLineChars="200"/>
        <w:jc w:val="both"/>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eastAsia="zh-CN"/>
        </w:rPr>
        <w:t>（四）按学校规定时间报到和注册。</w:t>
      </w:r>
    </w:p>
    <w:p>
      <w:pPr>
        <w:pStyle w:val="2"/>
        <w:spacing w:line="316" w:lineRule="auto"/>
        <w:ind w:right="275" w:firstLine="424" w:firstLineChars="200"/>
        <w:jc w:val="both"/>
        <w:rPr>
          <w:rFonts w:hint="eastAsia" w:ascii="宋体" w:hAnsi="宋体" w:eastAsia="宋体" w:cs="宋体"/>
          <w:color w:val="auto"/>
          <w:spacing w:val="1"/>
          <w:sz w:val="21"/>
          <w:szCs w:val="21"/>
          <w:highlight w:val="none"/>
          <w:lang w:eastAsia="zh-CN"/>
        </w:rPr>
      </w:pPr>
      <w:r>
        <w:rPr>
          <w:rFonts w:hint="eastAsia" w:ascii="宋体" w:hAnsi="宋体" w:eastAsia="宋体" w:cs="宋体"/>
          <w:color w:val="auto"/>
          <w:spacing w:val="1"/>
          <w:sz w:val="21"/>
          <w:szCs w:val="21"/>
          <w:highlight w:val="none"/>
          <w:lang w:eastAsia="zh-CN"/>
        </w:rPr>
        <w:t>（五）</w:t>
      </w:r>
      <w:r>
        <w:rPr>
          <w:rFonts w:hint="eastAsia" w:cs="宋体"/>
          <w:color w:val="auto"/>
          <w:spacing w:val="1"/>
          <w:sz w:val="21"/>
          <w:szCs w:val="21"/>
          <w:highlight w:val="none"/>
          <w:lang w:eastAsia="zh-CN"/>
        </w:rPr>
        <w:t>基本学制学习年限内的研究生</w:t>
      </w:r>
      <w:r>
        <w:rPr>
          <w:rFonts w:hint="eastAsia" w:ascii="宋体" w:hAnsi="宋体" w:eastAsia="宋体" w:cs="宋体"/>
          <w:color w:val="auto"/>
          <w:spacing w:val="1"/>
          <w:sz w:val="21"/>
          <w:szCs w:val="21"/>
          <w:highlight w:val="none"/>
          <w:lang w:eastAsia="zh-CN"/>
        </w:rPr>
        <w:t>。</w:t>
      </w:r>
    </w:p>
    <w:p>
      <w:pPr>
        <w:pStyle w:val="2"/>
        <w:spacing w:line="316" w:lineRule="auto"/>
        <w:ind w:left="-409" w:leftChars="-195" w:right="275" w:firstLine="826" w:firstLineChars="392"/>
        <w:jc w:val="both"/>
        <w:rPr>
          <w:rFonts w:hint="eastAsia" w:ascii="宋体" w:hAnsi="宋体" w:eastAsia="宋体" w:cs="宋体"/>
          <w:spacing w:val="1"/>
          <w:kern w:val="2"/>
          <w:sz w:val="21"/>
          <w:szCs w:val="21"/>
          <w:highlight w:val="none"/>
          <w:lang w:val="zh-CN" w:eastAsia="zh-CN" w:bidi="zh-CN"/>
        </w:rPr>
      </w:pPr>
      <w:r>
        <w:rPr>
          <w:rFonts w:hint="eastAsia" w:ascii="黑体" w:hAnsi="黑体" w:eastAsia="黑体" w:cs="黑体"/>
          <w:b/>
          <w:bCs/>
          <w:color w:val="333333"/>
          <w:kern w:val="0"/>
          <w:sz w:val="21"/>
          <w:szCs w:val="21"/>
          <w:highlight w:val="none"/>
          <w:lang w:val="zh-CN" w:eastAsia="zh-CN" w:bidi="ar-SA"/>
        </w:rPr>
        <w:t>第十一条</w:t>
      </w:r>
      <w:r>
        <w:rPr>
          <w:rFonts w:hint="eastAsia" w:ascii="宋体" w:hAnsi="宋体" w:eastAsia="宋体" w:cs="宋体"/>
          <w:spacing w:val="1"/>
          <w:kern w:val="2"/>
          <w:sz w:val="21"/>
          <w:szCs w:val="21"/>
          <w:highlight w:val="none"/>
          <w:lang w:val="en-US" w:eastAsia="zh-CN" w:bidi="zh-CN"/>
        </w:rPr>
        <w:t xml:space="preserve"> </w:t>
      </w:r>
      <w:r>
        <w:rPr>
          <w:rFonts w:hint="eastAsia" w:ascii="宋体" w:hAnsi="宋体" w:eastAsia="宋体" w:cs="宋体"/>
          <w:spacing w:val="1"/>
          <w:kern w:val="2"/>
          <w:sz w:val="21"/>
          <w:szCs w:val="21"/>
          <w:highlight w:val="none"/>
          <w:lang w:val="zh-CN" w:eastAsia="zh-CN" w:bidi="zh-CN"/>
        </w:rPr>
        <w:t xml:space="preserve"> 研究生如出现下列情形之一者，停发学年内学校助学金：</w:t>
      </w:r>
    </w:p>
    <w:p>
      <w:pPr>
        <w:pStyle w:val="2"/>
        <w:spacing w:line="316" w:lineRule="auto"/>
        <w:ind w:right="275" w:firstLine="424" w:firstLineChars="200"/>
        <w:jc w:val="both"/>
        <w:rPr>
          <w:rFonts w:hint="eastAsia" w:ascii="宋体" w:hAnsi="宋体" w:eastAsia="宋体" w:cs="宋体"/>
          <w:spacing w:val="1"/>
          <w:sz w:val="21"/>
          <w:szCs w:val="21"/>
          <w:highlight w:val="none"/>
          <w:lang w:val="zh-CN" w:eastAsia="zh-CN"/>
        </w:rPr>
      </w:pPr>
      <w:r>
        <w:rPr>
          <w:rFonts w:hint="eastAsia" w:ascii="宋体" w:hAnsi="宋体" w:eastAsia="宋体" w:cs="宋体"/>
          <w:spacing w:val="1"/>
          <w:sz w:val="21"/>
          <w:szCs w:val="21"/>
          <w:highlight w:val="none"/>
          <w:lang w:val="zh-CN" w:eastAsia="zh-CN"/>
        </w:rPr>
        <w:t>（一）本学年违反国家法律、校纪校规受到纪律处分者；</w:t>
      </w:r>
    </w:p>
    <w:p>
      <w:pPr>
        <w:pStyle w:val="2"/>
        <w:spacing w:line="316" w:lineRule="auto"/>
        <w:ind w:right="275" w:firstLine="424" w:firstLineChars="200"/>
        <w:jc w:val="both"/>
        <w:rPr>
          <w:rFonts w:hint="eastAsia" w:ascii="宋体" w:hAnsi="宋体" w:eastAsia="宋体" w:cs="宋体"/>
          <w:spacing w:val="1"/>
          <w:sz w:val="21"/>
          <w:szCs w:val="21"/>
          <w:highlight w:val="none"/>
          <w:lang w:val="zh-CN" w:eastAsia="zh-CN"/>
        </w:rPr>
      </w:pPr>
      <w:r>
        <w:rPr>
          <w:rFonts w:hint="eastAsia" w:ascii="宋体" w:hAnsi="宋体" w:eastAsia="宋体" w:cs="宋体"/>
          <w:spacing w:val="1"/>
          <w:sz w:val="21"/>
          <w:szCs w:val="21"/>
          <w:highlight w:val="none"/>
          <w:lang w:val="zh-CN" w:eastAsia="zh-CN"/>
        </w:rPr>
        <w:t>（二）本学年有抄袭剽窃、弄虚作假等学术不端行为经查证属实者；</w:t>
      </w:r>
    </w:p>
    <w:p>
      <w:pPr>
        <w:pStyle w:val="2"/>
        <w:spacing w:line="316" w:lineRule="auto"/>
        <w:ind w:right="275" w:firstLine="424" w:firstLineChars="200"/>
        <w:jc w:val="both"/>
        <w:rPr>
          <w:rFonts w:hint="eastAsia" w:ascii="宋体" w:hAnsi="宋体" w:eastAsia="宋体" w:cs="宋体"/>
          <w:spacing w:val="1"/>
          <w:sz w:val="21"/>
          <w:szCs w:val="21"/>
          <w:highlight w:val="none"/>
          <w:lang w:val="zh-CN" w:eastAsia="zh-CN"/>
        </w:rPr>
      </w:pPr>
      <w:r>
        <w:rPr>
          <w:rFonts w:hint="eastAsia" w:ascii="宋体" w:hAnsi="宋体" w:eastAsia="宋体" w:cs="宋体"/>
          <w:spacing w:val="1"/>
          <w:sz w:val="21"/>
          <w:szCs w:val="21"/>
          <w:highlight w:val="none"/>
          <w:lang w:val="zh-CN" w:eastAsia="zh-CN"/>
        </w:rPr>
        <w:t>（三）本学年在科学研究和实验工作、临床实践中造成重大事故及损失者；</w:t>
      </w:r>
    </w:p>
    <w:p>
      <w:pPr>
        <w:pStyle w:val="2"/>
        <w:spacing w:line="316" w:lineRule="auto"/>
        <w:ind w:right="275" w:firstLine="424" w:firstLineChars="200"/>
        <w:jc w:val="both"/>
        <w:rPr>
          <w:rFonts w:hint="eastAsia" w:ascii="宋体" w:hAnsi="宋体" w:eastAsia="宋体" w:cs="宋体"/>
          <w:spacing w:val="1"/>
          <w:sz w:val="21"/>
          <w:szCs w:val="21"/>
          <w:highlight w:val="none"/>
          <w:lang w:val="zh-CN" w:eastAsia="zh-CN"/>
        </w:rPr>
      </w:pPr>
      <w:r>
        <w:rPr>
          <w:rFonts w:hint="eastAsia" w:ascii="宋体" w:hAnsi="宋体" w:eastAsia="宋体" w:cs="宋体"/>
          <w:spacing w:val="1"/>
          <w:sz w:val="21"/>
          <w:szCs w:val="21"/>
          <w:highlight w:val="none"/>
          <w:lang w:val="zh-CN" w:eastAsia="zh-CN"/>
        </w:rPr>
        <w:t>（四）不能继续履行科研或临床岗位职责者；</w:t>
      </w:r>
    </w:p>
    <w:p>
      <w:pPr>
        <w:pStyle w:val="2"/>
        <w:spacing w:line="316" w:lineRule="auto"/>
        <w:ind w:right="275" w:firstLine="424" w:firstLineChars="200"/>
        <w:jc w:val="both"/>
        <w:rPr>
          <w:rFonts w:hint="eastAsia" w:ascii="宋体" w:hAnsi="宋体" w:eastAsia="宋体" w:cs="宋体"/>
          <w:spacing w:val="1"/>
          <w:sz w:val="21"/>
          <w:szCs w:val="21"/>
          <w:highlight w:val="none"/>
          <w:lang w:val="zh-CN" w:eastAsia="zh-CN"/>
        </w:rPr>
      </w:pPr>
      <w:r>
        <w:rPr>
          <w:rFonts w:hint="eastAsia" w:ascii="宋体" w:hAnsi="宋体" w:eastAsia="宋体" w:cs="宋体"/>
          <w:spacing w:val="1"/>
          <w:sz w:val="21"/>
          <w:szCs w:val="21"/>
          <w:highlight w:val="none"/>
          <w:lang w:val="zh-CN" w:eastAsia="zh-CN"/>
        </w:rPr>
        <w:t>（五）本学年存在其他损害学校声誉的不当行为者。</w:t>
      </w:r>
    </w:p>
    <w:p>
      <w:pPr>
        <w:pStyle w:val="2"/>
        <w:spacing w:line="316" w:lineRule="auto"/>
        <w:ind w:right="275" w:firstLine="422" w:firstLineChars="200"/>
        <w:jc w:val="both"/>
        <w:rPr>
          <w:rFonts w:hint="eastAsia"/>
          <w:spacing w:val="1"/>
          <w:sz w:val="21"/>
          <w:szCs w:val="21"/>
          <w:highlight w:val="none"/>
          <w:lang w:val="zh-CN" w:eastAsia="zh-CN"/>
        </w:rPr>
      </w:pPr>
      <w:r>
        <w:rPr>
          <w:rFonts w:hint="eastAsia" w:ascii="黑体" w:hAnsi="黑体" w:eastAsia="黑体" w:cs="黑体"/>
          <w:b/>
          <w:bCs/>
          <w:color w:val="333333"/>
          <w:kern w:val="0"/>
          <w:sz w:val="21"/>
          <w:szCs w:val="24"/>
          <w:highlight w:val="none"/>
          <w:lang w:val="zh-CN" w:eastAsia="zh-CN" w:bidi="ar-SA"/>
        </w:rPr>
        <w:t>第十二条</w:t>
      </w:r>
      <w:r>
        <w:rPr>
          <w:rFonts w:hint="eastAsia" w:ascii="inherit" w:hAnsi="inherit" w:eastAsia="微软雅黑" w:cs="宋体"/>
          <w:b/>
          <w:bCs/>
          <w:color w:val="333333"/>
          <w:kern w:val="0"/>
          <w:sz w:val="21"/>
          <w:szCs w:val="24"/>
          <w:highlight w:val="none"/>
          <w:lang w:val="zh-CN" w:eastAsia="zh-CN" w:bidi="ar-SA"/>
        </w:rPr>
        <w:t xml:space="preserve"> </w:t>
      </w:r>
      <w:r>
        <w:rPr>
          <w:rFonts w:hint="eastAsia"/>
          <w:spacing w:val="1"/>
          <w:sz w:val="21"/>
          <w:szCs w:val="21"/>
          <w:highlight w:val="none"/>
          <w:lang w:val="zh-CN" w:eastAsia="zh-CN"/>
        </w:rPr>
        <w:t xml:space="preserve"> 研究生在基本学制期限内，由于疾病等原因办理保留学籍或休学等手续的，暂停发放其研究生助学金，待其恢复学籍后再行发放，直至发满基本学制年限要求的助学金。</w:t>
      </w:r>
    </w:p>
    <w:p>
      <w:pPr>
        <w:pStyle w:val="2"/>
        <w:spacing w:line="316" w:lineRule="auto"/>
        <w:ind w:right="275" w:firstLine="422" w:firstLineChars="200"/>
        <w:jc w:val="both"/>
        <w:rPr>
          <w:rFonts w:hint="eastAsia" w:ascii="宋体" w:hAnsi="宋体" w:eastAsia="宋体" w:cs="宋体"/>
          <w:spacing w:val="1"/>
          <w:sz w:val="21"/>
          <w:szCs w:val="21"/>
          <w:highlight w:val="none"/>
          <w:lang w:val="zh-CN" w:eastAsia="zh-CN"/>
        </w:rPr>
      </w:pPr>
      <w:r>
        <w:rPr>
          <w:rFonts w:hint="eastAsia" w:ascii="黑体" w:hAnsi="黑体" w:eastAsia="黑体" w:cs="黑体"/>
          <w:b/>
          <w:bCs/>
          <w:color w:val="333333"/>
          <w:kern w:val="0"/>
          <w:sz w:val="21"/>
          <w:szCs w:val="24"/>
          <w:highlight w:val="none"/>
          <w:lang w:val="zh-CN" w:eastAsia="zh-CN" w:bidi="ar-SA"/>
        </w:rPr>
        <w:t>第十三条</w:t>
      </w:r>
      <w:r>
        <w:rPr>
          <w:rFonts w:hint="eastAsia"/>
          <w:spacing w:val="1"/>
          <w:sz w:val="21"/>
          <w:szCs w:val="21"/>
          <w:highlight w:val="none"/>
          <w:lang w:val="zh-CN" w:eastAsia="zh-CN"/>
        </w:rPr>
        <w:t xml:space="preserve">  </w:t>
      </w:r>
      <w:r>
        <w:rPr>
          <w:rFonts w:hint="eastAsia" w:ascii="宋体" w:hAnsi="宋体" w:eastAsia="宋体" w:cs="宋体"/>
          <w:spacing w:val="1"/>
          <w:sz w:val="21"/>
          <w:szCs w:val="21"/>
          <w:highlight w:val="none"/>
          <w:lang w:val="zh-CN" w:eastAsia="zh-CN"/>
        </w:rPr>
        <w:t>超过基本学制学习年限的研究生不再享受研究生国家助学金和学校助学金，导师助学金由导师根据研究生科研贡献大小自主设置。</w:t>
      </w:r>
    </w:p>
    <w:p>
      <w:pPr>
        <w:pStyle w:val="2"/>
        <w:spacing w:line="316" w:lineRule="auto"/>
        <w:ind w:right="275" w:firstLine="424" w:firstLineChars="200"/>
        <w:jc w:val="both"/>
        <w:rPr>
          <w:rFonts w:hint="eastAsia" w:ascii="宋体" w:hAnsi="宋体" w:eastAsia="宋体" w:cs="宋体"/>
          <w:spacing w:val="1"/>
          <w:sz w:val="21"/>
          <w:szCs w:val="21"/>
          <w:highlight w:val="none"/>
          <w:lang w:val="zh-CN" w:eastAsia="zh-CN"/>
        </w:rPr>
      </w:pPr>
      <w:r>
        <w:rPr>
          <w:rFonts w:hint="eastAsia" w:ascii="宋体" w:hAnsi="宋体" w:eastAsia="宋体" w:cs="宋体"/>
          <w:spacing w:val="1"/>
          <w:sz w:val="21"/>
          <w:szCs w:val="21"/>
          <w:highlight w:val="none"/>
          <w:lang w:val="zh-CN" w:eastAsia="zh-CN"/>
        </w:rPr>
        <w:t>提前毕业研究生自通过学位论文答辩并颁发毕业证书的下月起，停发研究生助学金。</w:t>
      </w:r>
    </w:p>
    <w:p>
      <w:pPr>
        <w:pStyle w:val="2"/>
        <w:spacing w:line="316" w:lineRule="auto"/>
        <w:ind w:right="275" w:firstLine="422" w:firstLineChars="200"/>
        <w:jc w:val="both"/>
        <w:rPr>
          <w:rFonts w:hint="eastAsia"/>
          <w:spacing w:val="1"/>
          <w:sz w:val="21"/>
          <w:szCs w:val="21"/>
          <w:highlight w:val="none"/>
          <w:lang w:val="zh-CN" w:eastAsia="zh-CN"/>
        </w:rPr>
      </w:pPr>
      <w:r>
        <w:rPr>
          <w:rFonts w:hint="eastAsia" w:ascii="黑体" w:hAnsi="黑体" w:eastAsia="黑体" w:cs="黑体"/>
          <w:b/>
          <w:bCs/>
          <w:color w:val="333333"/>
          <w:kern w:val="0"/>
          <w:sz w:val="21"/>
          <w:szCs w:val="21"/>
          <w:highlight w:val="none"/>
          <w:lang w:val="zh-CN" w:eastAsia="zh-CN" w:bidi="ar-SA"/>
        </w:rPr>
        <w:t>第十四条</w:t>
      </w:r>
      <w:r>
        <w:rPr>
          <w:rFonts w:hint="eastAsia" w:ascii="黑体" w:hAnsi="黑体" w:eastAsia="黑体" w:cs="黑体"/>
          <w:spacing w:val="1"/>
          <w:sz w:val="21"/>
          <w:szCs w:val="21"/>
          <w:highlight w:val="none"/>
          <w:lang w:val="zh-CN" w:eastAsia="zh-CN"/>
        </w:rPr>
        <w:t xml:space="preserve"> </w:t>
      </w:r>
      <w:r>
        <w:rPr>
          <w:rFonts w:hint="eastAsia"/>
          <w:spacing w:val="1"/>
          <w:sz w:val="21"/>
          <w:szCs w:val="21"/>
          <w:highlight w:val="none"/>
          <w:lang w:val="zh-CN" w:eastAsia="zh-CN"/>
        </w:rPr>
        <w:t xml:space="preserve"> 研究生未按学校规定时间报到注册的，停发且不补发助学金。助学金自注册之月起开始发放。</w:t>
      </w:r>
    </w:p>
    <w:p>
      <w:pPr>
        <w:pStyle w:val="2"/>
        <w:spacing w:line="316" w:lineRule="auto"/>
        <w:ind w:right="275" w:firstLine="422" w:firstLineChars="200"/>
        <w:jc w:val="both"/>
        <w:rPr>
          <w:rFonts w:hint="eastAsia"/>
          <w:spacing w:val="1"/>
          <w:sz w:val="21"/>
          <w:szCs w:val="21"/>
          <w:highlight w:val="none"/>
          <w:lang w:val="zh-CN" w:eastAsia="zh-CN"/>
        </w:rPr>
      </w:pPr>
      <w:r>
        <w:rPr>
          <w:rFonts w:hint="eastAsia" w:ascii="黑体" w:hAnsi="黑体" w:eastAsia="黑体" w:cs="黑体"/>
          <w:b/>
          <w:bCs/>
          <w:color w:val="333333"/>
          <w:kern w:val="0"/>
          <w:sz w:val="21"/>
          <w:szCs w:val="24"/>
          <w:highlight w:val="none"/>
          <w:lang w:val="zh-CN" w:eastAsia="zh-CN" w:bidi="ar-SA"/>
        </w:rPr>
        <w:t>第十五条</w:t>
      </w:r>
      <w:r>
        <w:rPr>
          <w:rFonts w:hint="eastAsia"/>
          <w:spacing w:val="1"/>
          <w:sz w:val="21"/>
          <w:szCs w:val="21"/>
          <w:highlight w:val="none"/>
          <w:lang w:val="zh-CN" w:eastAsia="zh-CN"/>
        </w:rPr>
        <w:t xml:space="preserve">  在基本学制学习年限内，硕博连读研究生或直博生申请转为硕士研究生，自批准之月起按硕士研究生身份发放硕士研究生国家助学金。</w:t>
      </w:r>
    </w:p>
    <w:p>
      <w:pPr>
        <w:pStyle w:val="2"/>
        <w:spacing w:line="316" w:lineRule="auto"/>
        <w:ind w:left="-603" w:leftChars="-295" w:right="275" w:hanging="16" w:hangingChars="8"/>
        <w:jc w:val="both"/>
        <w:rPr>
          <w:rFonts w:hint="default"/>
          <w:color w:val="auto"/>
          <w:spacing w:val="1"/>
          <w:sz w:val="21"/>
          <w:szCs w:val="21"/>
          <w:highlight w:val="none"/>
          <w:lang w:val="en-US" w:eastAsia="zh-CN"/>
        </w:rPr>
      </w:pPr>
    </w:p>
    <w:p>
      <w:pPr>
        <w:pStyle w:val="2"/>
        <w:widowControl w:val="0"/>
        <w:numPr>
          <w:ilvl w:val="0"/>
          <w:numId w:val="0"/>
        </w:numPr>
        <w:spacing w:line="316" w:lineRule="auto"/>
        <w:ind w:left="-603" w:leftChars="-295" w:right="275" w:rightChars="0" w:hanging="16" w:hangingChars="8"/>
        <w:jc w:val="both"/>
        <w:rPr>
          <w:rFonts w:hint="eastAsia"/>
          <w:spacing w:val="1"/>
          <w:sz w:val="21"/>
          <w:szCs w:val="21"/>
          <w:highlight w:val="none"/>
          <w:lang w:val="en-US" w:eastAsia="zh-CN"/>
        </w:rPr>
      </w:pP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r>
        <w:rPr>
          <w:rFonts w:hint="eastAsia" w:ascii="黑体" w:hAnsi="黑体" w:eastAsia="黑体" w:cs="黑体"/>
          <w:spacing w:val="1"/>
          <w:sz w:val="24"/>
          <w:szCs w:val="24"/>
          <w:highlight w:val="none"/>
          <w:lang w:val="zh-CN" w:eastAsia="zh-CN"/>
        </w:rPr>
        <w:t>第五章 名额分配</w:t>
      </w:r>
    </w:p>
    <w:p>
      <w:pPr>
        <w:pStyle w:val="2"/>
        <w:spacing w:line="316" w:lineRule="auto"/>
        <w:ind w:left="-602" w:leftChars="-295" w:right="275" w:hanging="17" w:hangingChars="8"/>
        <w:jc w:val="both"/>
        <w:rPr>
          <w:rFonts w:hint="eastAsia" w:ascii="inherit" w:hAnsi="inherit" w:eastAsia="微软雅黑" w:cs="宋体"/>
          <w:b/>
          <w:bCs/>
          <w:color w:val="333333"/>
          <w:kern w:val="0"/>
          <w:sz w:val="21"/>
          <w:szCs w:val="24"/>
          <w:highlight w:val="none"/>
          <w:lang w:val="en-US" w:eastAsia="zh-CN" w:bidi="ar-SA"/>
        </w:rPr>
      </w:pPr>
    </w:p>
    <w:p>
      <w:pPr>
        <w:pStyle w:val="2"/>
        <w:spacing w:line="316" w:lineRule="auto"/>
        <w:ind w:right="275" w:firstLine="422" w:firstLineChars="200"/>
        <w:jc w:val="both"/>
        <w:rPr>
          <w:rFonts w:hint="eastAsia"/>
          <w:spacing w:val="1"/>
          <w:sz w:val="21"/>
          <w:szCs w:val="21"/>
          <w:highlight w:val="none"/>
          <w:lang w:val="en-US" w:eastAsia="zh-CN"/>
        </w:rPr>
      </w:pPr>
      <w:r>
        <w:rPr>
          <w:rFonts w:hint="eastAsia" w:ascii="黑体" w:hAnsi="黑体" w:eastAsia="黑体" w:cs="黑体"/>
          <w:b/>
          <w:bCs/>
          <w:color w:val="333333"/>
          <w:kern w:val="0"/>
          <w:sz w:val="21"/>
          <w:szCs w:val="24"/>
          <w:highlight w:val="none"/>
          <w:lang w:val="en-US" w:eastAsia="zh-CN" w:bidi="ar-SA"/>
        </w:rPr>
        <w:t xml:space="preserve">第十六条  </w:t>
      </w:r>
      <w:r>
        <w:rPr>
          <w:rFonts w:hint="eastAsia"/>
          <w:spacing w:val="1"/>
          <w:sz w:val="21"/>
          <w:szCs w:val="21"/>
          <w:highlight w:val="none"/>
          <w:lang w:val="en-US" w:eastAsia="zh-CN"/>
        </w:rPr>
        <w:t>各类奖学金的名额每年根据学校相应管理文件分配而定。</w:t>
      </w:r>
    </w:p>
    <w:p>
      <w:pPr>
        <w:pStyle w:val="2"/>
        <w:widowControl w:val="0"/>
        <w:numPr>
          <w:ilvl w:val="0"/>
          <w:numId w:val="0"/>
        </w:numPr>
        <w:spacing w:line="316" w:lineRule="auto"/>
        <w:ind w:right="275" w:rightChars="0"/>
        <w:jc w:val="both"/>
        <w:rPr>
          <w:rFonts w:hint="eastAsia"/>
          <w:spacing w:val="1"/>
          <w:sz w:val="21"/>
          <w:szCs w:val="21"/>
          <w:highlight w:val="none"/>
          <w:lang w:val="en-US" w:eastAsia="zh-CN"/>
        </w:rPr>
      </w:pPr>
      <w:r>
        <w:rPr>
          <w:rFonts w:hint="eastAsia"/>
          <w:spacing w:val="1"/>
          <w:sz w:val="21"/>
          <w:szCs w:val="21"/>
          <w:highlight w:val="none"/>
          <w:lang w:val="en-US" w:eastAsia="zh-CN"/>
        </w:rPr>
        <w:t xml:space="preserve">                        </w:t>
      </w:r>
    </w:p>
    <w:p>
      <w:pPr>
        <w:pStyle w:val="2"/>
        <w:widowControl w:val="0"/>
        <w:numPr>
          <w:ilvl w:val="0"/>
          <w:numId w:val="0"/>
        </w:numPr>
        <w:spacing w:line="316" w:lineRule="auto"/>
        <w:ind w:left="-603" w:leftChars="-295" w:right="275" w:rightChars="0" w:hanging="16" w:hangingChars="8"/>
        <w:jc w:val="both"/>
        <w:rPr>
          <w:rFonts w:hint="eastAsia"/>
          <w:spacing w:val="1"/>
          <w:sz w:val="21"/>
          <w:szCs w:val="21"/>
          <w:highlight w:val="none"/>
          <w:lang w:val="en-US" w:eastAsia="zh-CN"/>
        </w:rPr>
      </w:pP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r>
        <w:rPr>
          <w:rFonts w:hint="eastAsia" w:ascii="黑体" w:hAnsi="黑体" w:eastAsia="黑体" w:cs="黑体"/>
          <w:spacing w:val="1"/>
          <w:sz w:val="24"/>
          <w:szCs w:val="24"/>
          <w:highlight w:val="none"/>
          <w:lang w:val="en-US" w:eastAsia="zh-CN"/>
        </w:rPr>
        <w:t xml:space="preserve">   第六章  </w:t>
      </w:r>
      <w:r>
        <w:rPr>
          <w:rFonts w:hint="eastAsia" w:ascii="黑体" w:hAnsi="黑体" w:eastAsia="黑体" w:cs="黑体"/>
          <w:spacing w:val="1"/>
          <w:sz w:val="24"/>
          <w:szCs w:val="24"/>
          <w:highlight w:val="none"/>
          <w:lang w:val="zh-CN" w:eastAsia="zh-CN"/>
        </w:rPr>
        <w:t>评审要求、程序</w:t>
      </w:r>
    </w:p>
    <w:p>
      <w:pPr>
        <w:pStyle w:val="2"/>
        <w:spacing w:line="316" w:lineRule="auto"/>
        <w:ind w:left="21" w:leftChars="0" w:right="275" w:hanging="21" w:hangingChars="9"/>
        <w:jc w:val="center"/>
        <w:rPr>
          <w:rFonts w:hint="eastAsia" w:ascii="黑体" w:hAnsi="黑体" w:eastAsia="黑体" w:cs="黑体"/>
          <w:spacing w:val="1"/>
          <w:sz w:val="24"/>
          <w:szCs w:val="24"/>
          <w:highlight w:val="none"/>
          <w:lang w:val="zh-CN" w:eastAsia="zh-CN"/>
        </w:rPr>
      </w:pPr>
    </w:p>
    <w:p>
      <w:pPr>
        <w:pStyle w:val="2"/>
        <w:widowControl w:val="0"/>
        <w:numPr>
          <w:ilvl w:val="0"/>
          <w:numId w:val="0"/>
        </w:numPr>
        <w:spacing w:line="360" w:lineRule="auto"/>
        <w:ind w:right="275" w:rightChars="0" w:firstLine="422" w:firstLineChars="200"/>
        <w:jc w:val="both"/>
        <w:rPr>
          <w:rFonts w:hint="eastAsia" w:ascii="宋体" w:hAnsi="宋体" w:eastAsia="宋体" w:cs="宋体"/>
          <w:b w:val="0"/>
          <w:i w:val="0"/>
          <w:caps w:val="0"/>
          <w:color w:val="000000"/>
          <w:spacing w:val="0"/>
          <w:kern w:val="0"/>
          <w:sz w:val="21"/>
          <w:szCs w:val="21"/>
          <w:highlight w:val="none"/>
          <w:vertAlign w:val="baseline"/>
          <w:lang w:val="en-US" w:eastAsia="zh-CN" w:bidi="ar"/>
        </w:rPr>
      </w:pPr>
      <w:r>
        <w:rPr>
          <w:rFonts w:hint="eastAsia" w:ascii="黑体" w:hAnsi="黑体" w:eastAsia="黑体" w:cs="黑体"/>
          <w:b/>
          <w:bCs/>
          <w:color w:val="333333"/>
          <w:kern w:val="0"/>
          <w:sz w:val="21"/>
          <w:szCs w:val="21"/>
          <w:highlight w:val="none"/>
          <w:lang w:val="en-US" w:eastAsia="zh-CN" w:bidi="ar-SA"/>
        </w:rPr>
        <w:t>第十七条</w:t>
      </w:r>
      <w:r>
        <w:rPr>
          <w:rFonts w:hint="eastAsia" w:ascii="inherit" w:hAnsi="inherit" w:eastAsia="微软雅黑" w:cs="宋体"/>
          <w:b/>
          <w:bCs/>
          <w:color w:val="333333"/>
          <w:kern w:val="0"/>
          <w:sz w:val="21"/>
          <w:szCs w:val="21"/>
          <w:highlight w:val="none"/>
          <w:lang w:val="en-US" w:eastAsia="zh-CN" w:bidi="ar-SA"/>
        </w:rPr>
        <w:t xml:space="preserve">  </w:t>
      </w:r>
      <w:r>
        <w:rPr>
          <w:rFonts w:hint="eastAsia" w:ascii="宋体" w:hAnsi="宋体" w:eastAsia="宋体" w:cs="宋体"/>
          <w:b w:val="0"/>
          <w:i w:val="0"/>
          <w:caps w:val="0"/>
          <w:color w:val="000000"/>
          <w:spacing w:val="0"/>
          <w:kern w:val="0"/>
          <w:sz w:val="21"/>
          <w:szCs w:val="21"/>
          <w:highlight w:val="none"/>
          <w:vertAlign w:val="baseline"/>
          <w:lang w:val="en-US" w:eastAsia="zh-CN" w:bidi="ar"/>
        </w:rPr>
        <w:t>研究生奖助学金每年9月份组织评审，获评学业奖学金一等奖的研究生方可获评国家奖学金或校长奖学金创新奖，但不能同时获评国家奖学金或校长奖学金创新奖；获评国家奖学金的研究生方可获评校长奖学金卓越奖或拔尖奖。超过基本学制学习年限但未超过最长学习年限的研究生可申报获评校长奖学金卓越奖或拔尖奖。研究生奖助学金实行等额评审，坚持公开、公平、公正、择优的原则。</w:t>
      </w:r>
    </w:p>
    <w:p>
      <w:pPr>
        <w:pStyle w:val="2"/>
        <w:widowControl w:val="0"/>
        <w:numPr>
          <w:ilvl w:val="0"/>
          <w:numId w:val="0"/>
        </w:numPr>
        <w:spacing w:line="360" w:lineRule="auto"/>
        <w:ind w:right="275" w:rightChars="0" w:firstLine="420" w:firstLineChars="200"/>
        <w:jc w:val="both"/>
        <w:rPr>
          <w:rFonts w:hint="eastAsia" w:ascii="宋体" w:hAnsi="宋体" w:eastAsia="宋体" w:cs="宋体"/>
          <w:b w:val="0"/>
          <w:i w:val="0"/>
          <w:caps w:val="0"/>
          <w:color w:val="000000"/>
          <w:spacing w:val="0"/>
          <w:kern w:val="0"/>
          <w:sz w:val="21"/>
          <w:szCs w:val="21"/>
          <w:highlight w:val="none"/>
          <w:vertAlign w:val="baseline"/>
          <w:lang w:val="en-US" w:eastAsia="zh-CN" w:bidi="ar"/>
        </w:rPr>
      </w:pPr>
      <w:r>
        <w:rPr>
          <w:rFonts w:hint="eastAsia" w:ascii="宋体" w:hAnsi="宋体" w:eastAsia="宋体" w:cs="宋体"/>
          <w:b w:val="0"/>
          <w:i w:val="0"/>
          <w:caps w:val="0"/>
          <w:color w:val="000000"/>
          <w:spacing w:val="0"/>
          <w:kern w:val="0"/>
          <w:sz w:val="21"/>
          <w:szCs w:val="21"/>
          <w:highlight w:val="none"/>
          <w:vertAlign w:val="baseline"/>
          <w:lang w:val="en-US" w:eastAsia="zh-CN" w:bidi="ar"/>
        </w:rPr>
        <w:t>研究生学业奖学金实行动态评定，按研究生的科研能力、临床能力、成绩、综合素质四类进行综合排序，其中各占比值为：科研能力（</w:t>
      </w:r>
      <w:r>
        <w:rPr>
          <w:rFonts w:hint="eastAsia" w:ascii="宋体" w:hAnsi="宋体" w:eastAsia="宋体" w:cs="宋体"/>
          <w:b/>
          <w:bCs/>
          <w:i w:val="0"/>
          <w:caps w:val="0"/>
          <w:color w:val="000000"/>
          <w:spacing w:val="0"/>
          <w:kern w:val="0"/>
          <w:sz w:val="21"/>
          <w:szCs w:val="21"/>
          <w:highlight w:val="none"/>
          <w:vertAlign w:val="baseline"/>
          <w:lang w:val="en-US" w:eastAsia="zh-CN" w:bidi="ar"/>
        </w:rPr>
        <w:t>40%</w:t>
      </w:r>
      <w:r>
        <w:rPr>
          <w:rFonts w:hint="eastAsia" w:ascii="宋体" w:hAnsi="宋体" w:eastAsia="宋体" w:cs="宋体"/>
          <w:b w:val="0"/>
          <w:i w:val="0"/>
          <w:caps w:val="0"/>
          <w:color w:val="000000"/>
          <w:spacing w:val="0"/>
          <w:kern w:val="0"/>
          <w:sz w:val="21"/>
          <w:szCs w:val="21"/>
          <w:highlight w:val="none"/>
          <w:vertAlign w:val="baseline"/>
          <w:lang w:val="en-US" w:eastAsia="zh-CN" w:bidi="ar"/>
        </w:rPr>
        <w:t>）+临床能力（</w:t>
      </w:r>
      <w:r>
        <w:rPr>
          <w:rFonts w:hint="eastAsia" w:ascii="宋体" w:hAnsi="宋体" w:eastAsia="宋体" w:cs="宋体"/>
          <w:b/>
          <w:bCs/>
          <w:i w:val="0"/>
          <w:caps w:val="0"/>
          <w:color w:val="000000"/>
          <w:spacing w:val="0"/>
          <w:kern w:val="0"/>
          <w:sz w:val="21"/>
          <w:szCs w:val="21"/>
          <w:highlight w:val="none"/>
          <w:vertAlign w:val="baseline"/>
          <w:lang w:val="en-US" w:eastAsia="zh-CN" w:bidi="ar"/>
        </w:rPr>
        <w:t>40%</w:t>
      </w:r>
      <w:r>
        <w:rPr>
          <w:rFonts w:hint="eastAsia" w:ascii="宋体" w:hAnsi="宋体" w:eastAsia="宋体" w:cs="宋体"/>
          <w:b w:val="0"/>
          <w:i w:val="0"/>
          <w:caps w:val="0"/>
          <w:color w:val="000000"/>
          <w:spacing w:val="0"/>
          <w:kern w:val="0"/>
          <w:sz w:val="21"/>
          <w:szCs w:val="21"/>
          <w:highlight w:val="none"/>
          <w:vertAlign w:val="baseline"/>
          <w:lang w:val="en-US" w:eastAsia="zh-CN" w:bidi="ar"/>
        </w:rPr>
        <w:t>）+（成绩+综合素质）（</w:t>
      </w:r>
      <w:r>
        <w:rPr>
          <w:rFonts w:hint="eastAsia" w:ascii="宋体" w:hAnsi="宋体" w:eastAsia="宋体" w:cs="宋体"/>
          <w:b/>
          <w:bCs/>
          <w:i w:val="0"/>
          <w:caps w:val="0"/>
          <w:color w:val="000000"/>
          <w:spacing w:val="0"/>
          <w:kern w:val="0"/>
          <w:sz w:val="21"/>
          <w:szCs w:val="21"/>
          <w:highlight w:val="none"/>
          <w:vertAlign w:val="baseline"/>
          <w:lang w:val="en-US" w:eastAsia="zh-CN" w:bidi="ar"/>
        </w:rPr>
        <w:t>20%</w:t>
      </w:r>
      <w:r>
        <w:rPr>
          <w:rFonts w:hint="eastAsia" w:ascii="宋体" w:hAnsi="宋体" w:eastAsia="宋体" w:cs="宋体"/>
          <w:b w:val="0"/>
          <w:i w:val="0"/>
          <w:caps w:val="0"/>
          <w:color w:val="000000"/>
          <w:spacing w:val="0"/>
          <w:kern w:val="0"/>
          <w:sz w:val="21"/>
          <w:szCs w:val="21"/>
          <w:highlight w:val="none"/>
          <w:vertAlign w:val="baseline"/>
          <w:lang w:val="en-US" w:eastAsia="zh-CN" w:bidi="ar"/>
        </w:rPr>
        <w:t xml:space="preserve">）。排名为后10%者获评三等学业奖学金。 </w:t>
      </w:r>
    </w:p>
    <w:p>
      <w:pPr>
        <w:pStyle w:val="2"/>
        <w:widowControl w:val="0"/>
        <w:numPr>
          <w:ilvl w:val="0"/>
          <w:numId w:val="0"/>
        </w:numPr>
        <w:spacing w:line="360" w:lineRule="auto"/>
        <w:ind w:right="275" w:rightChars="0" w:firstLine="422" w:firstLineChars="200"/>
        <w:jc w:val="both"/>
        <w:rPr>
          <w:rFonts w:hint="eastAsia" w:ascii="宋体" w:hAnsi="宋体" w:eastAsia="宋体" w:cs="宋体"/>
          <w:b w:val="0"/>
          <w:i w:val="0"/>
          <w:caps w:val="0"/>
          <w:color w:val="000000"/>
          <w:spacing w:val="0"/>
          <w:kern w:val="0"/>
          <w:sz w:val="21"/>
          <w:szCs w:val="21"/>
          <w:highlight w:val="none"/>
          <w:vertAlign w:val="baseline"/>
          <w:lang w:val="en-US" w:eastAsia="zh-CN" w:bidi="ar"/>
        </w:rPr>
      </w:pPr>
      <w:r>
        <w:rPr>
          <w:rFonts w:hint="eastAsia" w:ascii="黑体" w:hAnsi="黑体" w:eastAsia="黑体" w:cs="黑体"/>
          <w:b/>
          <w:bCs/>
          <w:color w:val="333333"/>
          <w:kern w:val="0"/>
          <w:sz w:val="21"/>
          <w:szCs w:val="21"/>
          <w:highlight w:val="none"/>
          <w:lang w:val="en-US" w:eastAsia="zh-CN" w:bidi="ar-SA"/>
        </w:rPr>
        <w:t>第十八条</w:t>
      </w:r>
      <w:r>
        <w:rPr>
          <w:rFonts w:hint="eastAsia" w:ascii="inherit" w:hAnsi="inherit" w:eastAsia="微软雅黑" w:cs="宋体"/>
          <w:b/>
          <w:bCs/>
          <w:color w:val="333333"/>
          <w:kern w:val="0"/>
          <w:sz w:val="21"/>
          <w:szCs w:val="21"/>
          <w:highlight w:val="none"/>
          <w:lang w:val="en-US" w:eastAsia="zh-CN" w:bidi="ar-SA"/>
        </w:rPr>
        <w:t xml:space="preserve">  </w:t>
      </w:r>
      <w:r>
        <w:rPr>
          <w:rFonts w:hint="eastAsia" w:ascii="宋体" w:hAnsi="宋体" w:eastAsia="宋体" w:cs="宋体"/>
          <w:b w:val="0"/>
          <w:i w:val="0"/>
          <w:caps w:val="0"/>
          <w:color w:val="000000"/>
          <w:spacing w:val="0"/>
          <w:kern w:val="0"/>
          <w:sz w:val="21"/>
          <w:szCs w:val="21"/>
          <w:highlight w:val="none"/>
          <w:vertAlign w:val="baseline"/>
          <w:lang w:val="en-US" w:eastAsia="zh-CN" w:bidi="ar"/>
        </w:rPr>
        <w:t>国家奖学金的院内评审程序：</w:t>
      </w:r>
    </w:p>
    <w:p>
      <w:pPr>
        <w:pStyle w:val="2"/>
        <w:spacing w:line="316" w:lineRule="auto"/>
        <w:ind w:right="275" w:firstLine="424" w:firstLineChars="200"/>
        <w:jc w:val="both"/>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1.符合条件的学生在规定的期限内，向班长提出书面申请，经班长、研究生会干部初审后，将申请学生名单及推荐材料报研究生部；</w:t>
      </w:r>
    </w:p>
    <w:p>
      <w:pPr>
        <w:pStyle w:val="2"/>
        <w:spacing w:line="316" w:lineRule="auto"/>
        <w:ind w:right="275" w:firstLine="424" w:firstLineChars="200"/>
        <w:jc w:val="both"/>
        <w:rPr>
          <w:rFonts w:hint="eastAsia" w:ascii="宋体" w:hAnsi="宋体" w:eastAsia="宋体" w:cs="宋体"/>
          <w:color w:val="333333"/>
          <w:kern w:val="0"/>
          <w:sz w:val="21"/>
          <w:szCs w:val="21"/>
          <w:highlight w:val="none"/>
        </w:rPr>
      </w:pPr>
      <w:r>
        <w:rPr>
          <w:rFonts w:hint="eastAsia" w:ascii="宋体" w:hAnsi="宋体" w:eastAsia="宋体" w:cs="宋体"/>
          <w:spacing w:val="1"/>
          <w:sz w:val="21"/>
          <w:szCs w:val="21"/>
          <w:highlight w:val="none"/>
          <w:lang w:val="en-US" w:eastAsia="zh-CN"/>
        </w:rPr>
        <w:t>2.研究生部成立以分管领导为组长，导师代表、管理部门人员、辅导员、学生代表等为成员的研究生奖学金评审委员会，通过民主评议、公开答辩等方式</w:t>
      </w:r>
      <w:r>
        <w:rPr>
          <w:rFonts w:hint="eastAsia" w:ascii="宋体" w:hAnsi="宋体" w:eastAsia="宋体" w:cs="宋体"/>
          <w:b w:val="0"/>
          <w:i w:val="0"/>
          <w:caps w:val="0"/>
          <w:color w:val="000000"/>
          <w:spacing w:val="0"/>
          <w:kern w:val="0"/>
          <w:sz w:val="21"/>
          <w:szCs w:val="21"/>
          <w:highlight w:val="none"/>
          <w:vertAlign w:val="baseline"/>
          <w:lang w:val="en-US" w:eastAsia="zh-CN" w:bidi="ar"/>
        </w:rPr>
        <w:t>（按照名额的120%比例差额答辩）</w:t>
      </w:r>
      <w:r>
        <w:rPr>
          <w:rFonts w:hint="eastAsia" w:ascii="宋体" w:hAnsi="宋体" w:eastAsia="宋体" w:cs="宋体"/>
          <w:spacing w:val="1"/>
          <w:sz w:val="21"/>
          <w:szCs w:val="21"/>
          <w:highlight w:val="none"/>
          <w:lang w:val="en-US" w:eastAsia="zh-CN"/>
        </w:rPr>
        <w:t>，等额确定本学院拟推荐学生名单，并在本学院范围进行不少于5个工作日的公示，如无异议，上报校研究生院。</w:t>
      </w:r>
    </w:p>
    <w:p>
      <w:pPr>
        <w:pStyle w:val="2"/>
        <w:widowControl w:val="0"/>
        <w:numPr>
          <w:ilvl w:val="0"/>
          <w:numId w:val="0"/>
        </w:numPr>
        <w:spacing w:line="360" w:lineRule="auto"/>
        <w:ind w:right="275" w:rightChars="0" w:firstLine="422" w:firstLineChars="200"/>
        <w:jc w:val="both"/>
        <w:rPr>
          <w:rFonts w:hint="eastAsia" w:ascii="宋体" w:hAnsi="宋体" w:eastAsia="宋体" w:cs="宋体"/>
          <w:b w:val="0"/>
          <w:i w:val="0"/>
          <w:caps w:val="0"/>
          <w:color w:val="000000"/>
          <w:spacing w:val="0"/>
          <w:kern w:val="0"/>
          <w:sz w:val="21"/>
          <w:szCs w:val="21"/>
          <w:highlight w:val="none"/>
          <w:vertAlign w:val="baseline"/>
          <w:lang w:val="en-US" w:eastAsia="zh-CN" w:bidi="ar"/>
        </w:rPr>
      </w:pPr>
      <w:r>
        <w:rPr>
          <w:rFonts w:hint="eastAsia" w:ascii="黑体" w:hAnsi="黑体" w:eastAsia="黑体" w:cs="黑体"/>
          <w:b/>
          <w:bCs/>
          <w:color w:val="333333"/>
          <w:kern w:val="0"/>
          <w:sz w:val="21"/>
          <w:szCs w:val="21"/>
          <w:highlight w:val="none"/>
          <w:lang w:val="en-US" w:eastAsia="zh-CN" w:bidi="ar-SA"/>
        </w:rPr>
        <w:t xml:space="preserve">第十九条  </w:t>
      </w:r>
      <w:r>
        <w:rPr>
          <w:rFonts w:hint="eastAsia" w:ascii="宋体" w:hAnsi="宋体" w:eastAsia="宋体" w:cs="宋体"/>
          <w:b w:val="0"/>
          <w:i w:val="0"/>
          <w:caps w:val="0"/>
          <w:color w:val="000000"/>
          <w:spacing w:val="0"/>
          <w:kern w:val="0"/>
          <w:sz w:val="21"/>
          <w:szCs w:val="21"/>
          <w:highlight w:val="none"/>
          <w:vertAlign w:val="baseline"/>
          <w:lang w:val="en-US" w:eastAsia="zh-CN" w:bidi="ar"/>
        </w:rPr>
        <w:t>研究生校长奖学金的评审程序：</w:t>
      </w:r>
    </w:p>
    <w:p>
      <w:pPr>
        <w:pStyle w:val="2"/>
        <w:spacing w:line="316" w:lineRule="auto"/>
        <w:ind w:right="275" w:firstLine="424" w:firstLineChars="200"/>
        <w:jc w:val="both"/>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1.符合申请条件的研究生填写《研究生校长奖学金申请表》，交指导教师签署详细推荐意见后，将课程成绩表、创新成果原件及复印件等支撑材料一并交研究生部。</w:t>
      </w:r>
    </w:p>
    <w:p>
      <w:pPr>
        <w:pStyle w:val="2"/>
        <w:spacing w:line="316" w:lineRule="auto"/>
        <w:ind w:right="275" w:firstLine="424" w:firstLineChars="200"/>
        <w:jc w:val="both"/>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研究生奖学金评审委员会按照学校评选基本条件，对参评研究生的各项创新成果进行评定，并将综合评定明细情况在本单位进行公示，确定公开答辩研究生名单（按照名额的120%比例差额答辩）；组织公开答辩，分别确定卓越奖、拔尖奖、创新奖推荐评选对象，并在本单位公示5个工作日以上；公示无异议后，向研究生院分别提交卓越奖、拔尖奖、创新奖推荐名单。</w:t>
      </w:r>
    </w:p>
    <w:p>
      <w:pPr>
        <w:pStyle w:val="2"/>
        <w:spacing w:line="316" w:lineRule="auto"/>
        <w:ind w:right="275" w:firstLine="424" w:firstLineChars="200"/>
        <w:jc w:val="both"/>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3.研究生院负责复核研究生校长奖学金候选人资格，同时组织对校长奖学金（卓越奖和拔尖奖）候选人进行校级公开答辩与评审。</w:t>
      </w:r>
    </w:p>
    <w:p>
      <w:pPr>
        <w:pStyle w:val="2"/>
        <w:spacing w:line="316" w:lineRule="auto"/>
        <w:ind w:right="275" w:firstLine="424" w:firstLineChars="200"/>
        <w:jc w:val="both"/>
        <w:rPr>
          <w:rFonts w:hint="eastAsia" w:ascii="宋体" w:hAnsi="宋体" w:eastAsia="宋体" w:cs="宋体"/>
          <w:spacing w:val="1"/>
          <w:sz w:val="21"/>
          <w:szCs w:val="21"/>
          <w:highlight w:val="none"/>
          <w:lang w:val="en-US" w:eastAsia="zh-CN"/>
        </w:rPr>
      </w:pPr>
    </w:p>
    <w:p>
      <w:pPr>
        <w:pStyle w:val="2"/>
        <w:spacing w:line="316" w:lineRule="auto"/>
        <w:ind w:right="275" w:firstLine="424" w:firstLineChars="200"/>
        <w:jc w:val="both"/>
        <w:rPr>
          <w:rFonts w:hint="eastAsia" w:ascii="宋体" w:hAnsi="宋体" w:eastAsia="宋体" w:cs="宋体"/>
          <w:spacing w:val="1"/>
          <w:sz w:val="21"/>
          <w:szCs w:val="21"/>
          <w:highlight w:val="none"/>
          <w:lang w:val="en-US" w:eastAsia="zh-CN"/>
        </w:rPr>
      </w:pPr>
    </w:p>
    <w:p>
      <w:pPr>
        <w:numPr>
          <w:ilvl w:val="0"/>
          <w:numId w:val="0"/>
        </w:numPr>
        <w:jc w:val="right"/>
        <w:rPr>
          <w:rFonts w:hint="eastAsia" w:ascii="宋体" w:hAnsi="宋体" w:eastAsia="宋体" w:cs="宋体"/>
          <w:spacing w:val="1"/>
          <w:kern w:val="2"/>
          <w:sz w:val="21"/>
          <w:szCs w:val="21"/>
          <w:highlight w:val="none"/>
          <w:lang w:val="en-US" w:eastAsia="zh-CN" w:bidi="zh-CN"/>
        </w:rPr>
      </w:pPr>
      <w:r>
        <w:rPr>
          <w:rFonts w:hint="eastAsia" w:ascii="宋体" w:hAnsi="宋体" w:eastAsia="宋体" w:cs="宋体"/>
          <w:spacing w:val="1"/>
          <w:kern w:val="2"/>
          <w:sz w:val="21"/>
          <w:szCs w:val="21"/>
          <w:highlight w:val="none"/>
          <w:lang w:val="en-US" w:eastAsia="zh-CN" w:bidi="zh-CN"/>
        </w:rPr>
        <w:t>中南大学湘雅三医院研究生部</w:t>
      </w:r>
    </w:p>
    <w:p>
      <w:pPr>
        <w:numPr>
          <w:ilvl w:val="0"/>
          <w:numId w:val="0"/>
        </w:numPr>
        <w:jc w:val="right"/>
        <w:rPr>
          <w:rFonts w:hint="default" w:ascii="宋体" w:hAnsi="宋体" w:eastAsia="宋体" w:cs="宋体"/>
          <w:spacing w:val="1"/>
          <w:kern w:val="2"/>
          <w:sz w:val="21"/>
          <w:szCs w:val="21"/>
          <w:highlight w:val="none"/>
          <w:lang w:val="en-US" w:eastAsia="zh-CN" w:bidi="zh-CN"/>
        </w:rPr>
      </w:pPr>
      <w:r>
        <w:rPr>
          <w:rFonts w:hint="eastAsia" w:ascii="宋体" w:hAnsi="宋体" w:eastAsia="宋体" w:cs="宋体"/>
          <w:spacing w:val="1"/>
          <w:kern w:val="2"/>
          <w:sz w:val="21"/>
          <w:szCs w:val="21"/>
          <w:highlight w:val="none"/>
          <w:lang w:val="en-US" w:eastAsia="zh-CN" w:bidi="zh-CN"/>
        </w:rPr>
        <w:t>2021年9月13日</w:t>
      </w:r>
      <w:bookmarkStart w:id="0" w:name="_GoBack"/>
      <w:bookmarkEnd w:id="0"/>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C3F73"/>
    <w:rsid w:val="01BC123E"/>
    <w:rsid w:val="02E21D06"/>
    <w:rsid w:val="0518248F"/>
    <w:rsid w:val="05EC26E3"/>
    <w:rsid w:val="08091DCA"/>
    <w:rsid w:val="093559C8"/>
    <w:rsid w:val="0ACC65E8"/>
    <w:rsid w:val="0C152C22"/>
    <w:rsid w:val="0D5D6764"/>
    <w:rsid w:val="0EAF0FCC"/>
    <w:rsid w:val="0FE078C9"/>
    <w:rsid w:val="10642BAD"/>
    <w:rsid w:val="119B0832"/>
    <w:rsid w:val="140C6454"/>
    <w:rsid w:val="149D169C"/>
    <w:rsid w:val="14A235C8"/>
    <w:rsid w:val="15A5504C"/>
    <w:rsid w:val="193A0F26"/>
    <w:rsid w:val="1C31752A"/>
    <w:rsid w:val="1C7D5C59"/>
    <w:rsid w:val="1FA53C4D"/>
    <w:rsid w:val="20044F42"/>
    <w:rsid w:val="21392D29"/>
    <w:rsid w:val="21824B86"/>
    <w:rsid w:val="219B4202"/>
    <w:rsid w:val="23104E44"/>
    <w:rsid w:val="23386402"/>
    <w:rsid w:val="23D80D20"/>
    <w:rsid w:val="24BA695B"/>
    <w:rsid w:val="267E76A0"/>
    <w:rsid w:val="2C3D0689"/>
    <w:rsid w:val="2C5964B0"/>
    <w:rsid w:val="2DB61E34"/>
    <w:rsid w:val="2E017189"/>
    <w:rsid w:val="2E2745A1"/>
    <w:rsid w:val="2F206D97"/>
    <w:rsid w:val="310B684E"/>
    <w:rsid w:val="317D3B29"/>
    <w:rsid w:val="31A40B02"/>
    <w:rsid w:val="335B40BD"/>
    <w:rsid w:val="38AD1F2D"/>
    <w:rsid w:val="391B04B1"/>
    <w:rsid w:val="3B3D370A"/>
    <w:rsid w:val="3E0A2C86"/>
    <w:rsid w:val="3E7859BA"/>
    <w:rsid w:val="3EAC3F73"/>
    <w:rsid w:val="403D6ED4"/>
    <w:rsid w:val="43761A48"/>
    <w:rsid w:val="43CD340D"/>
    <w:rsid w:val="45562C70"/>
    <w:rsid w:val="48283C8C"/>
    <w:rsid w:val="48EC2023"/>
    <w:rsid w:val="490021E1"/>
    <w:rsid w:val="499B6DA9"/>
    <w:rsid w:val="4CC51FB3"/>
    <w:rsid w:val="4D5E03A6"/>
    <w:rsid w:val="4D842FBC"/>
    <w:rsid w:val="50B315A4"/>
    <w:rsid w:val="537B7FCE"/>
    <w:rsid w:val="53987309"/>
    <w:rsid w:val="539F4B8E"/>
    <w:rsid w:val="55A92BF6"/>
    <w:rsid w:val="57815F3D"/>
    <w:rsid w:val="59560878"/>
    <w:rsid w:val="59564C12"/>
    <w:rsid w:val="5962392E"/>
    <w:rsid w:val="5A576203"/>
    <w:rsid w:val="5A8840BF"/>
    <w:rsid w:val="5C0C3481"/>
    <w:rsid w:val="5C8A4919"/>
    <w:rsid w:val="62260BC1"/>
    <w:rsid w:val="638836C0"/>
    <w:rsid w:val="642669B9"/>
    <w:rsid w:val="64AF2BB4"/>
    <w:rsid w:val="64D328C8"/>
    <w:rsid w:val="66105D43"/>
    <w:rsid w:val="66823241"/>
    <w:rsid w:val="682F7A5B"/>
    <w:rsid w:val="696568EF"/>
    <w:rsid w:val="69F041C7"/>
    <w:rsid w:val="6C6228EE"/>
    <w:rsid w:val="6D535020"/>
    <w:rsid w:val="6D5D64D0"/>
    <w:rsid w:val="6D820CE2"/>
    <w:rsid w:val="6E3E0F35"/>
    <w:rsid w:val="6E8E1627"/>
    <w:rsid w:val="6EC72568"/>
    <w:rsid w:val="70707569"/>
    <w:rsid w:val="72282286"/>
    <w:rsid w:val="73B65CE2"/>
    <w:rsid w:val="745F7979"/>
    <w:rsid w:val="76A94D3C"/>
    <w:rsid w:val="7742362F"/>
    <w:rsid w:val="77496B42"/>
    <w:rsid w:val="7AF6697C"/>
    <w:rsid w:val="7CCE149A"/>
    <w:rsid w:val="7E861B76"/>
    <w:rsid w:val="7EE76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lang w:val="zh-CN" w:eastAsia="zh-CN" w:bidi="zh-CN"/>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List Paragraph"/>
    <w:basedOn w:val="1"/>
    <w:qFormat/>
    <w:uiPriority w:val="1"/>
    <w:pPr>
      <w:ind w:left="884" w:firstLine="64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2018-04-24T07:36:00Z</dcterms:created>
  <dc:creator>dreamsyang</dc:creator>
  <cp:lastModifiedBy>lena</cp:lastModifiedBy>
  <cp:lastPrinted>2018-04-26T01:23:00Z</cp:lastPrinted>
  <dcterms:modified xsi:type="dcterms:W3CDTF">2021-09-13T07:08:26Z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FE9B27A8505943DA9C9E6E01CA119101</vt:lpwstr>
  </property>
</Properties>
</file>